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6D7" w:rsidRDefault="00F846D7">
      <w:pPr>
        <w:rPr>
          <w:b/>
          <w:sz w:val="52"/>
          <w:szCs w:val="52"/>
        </w:rPr>
      </w:pPr>
      <w:bookmarkStart w:id="0" w:name="_GoBack"/>
      <w:bookmarkEnd w:id="0"/>
    </w:p>
    <w:p w:rsidR="00F846D7" w:rsidRDefault="00F846D7" w:rsidP="00F846D7">
      <w:pPr>
        <w:jc w:val="center"/>
        <w:rPr>
          <w:b/>
          <w:sz w:val="52"/>
          <w:szCs w:val="52"/>
        </w:rPr>
      </w:pPr>
      <w:r>
        <w:rPr>
          <w:b/>
          <w:noProof/>
          <w:sz w:val="52"/>
          <w:szCs w:val="52"/>
          <w:lang w:eastAsia="en-GB"/>
        </w:rPr>
        <w:drawing>
          <wp:inline distT="0" distB="0" distL="0" distR="0" wp14:anchorId="5B7C9A29">
            <wp:extent cx="1530350"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p w:rsidR="00F846D7" w:rsidRPr="00F846D7" w:rsidRDefault="00F846D7" w:rsidP="00F846D7">
      <w:pPr>
        <w:spacing w:after="160" w:line="259" w:lineRule="auto"/>
        <w:rPr>
          <w:rFonts w:ascii="Calibri" w:eastAsia="Calibri" w:hAnsi="Calibri" w:cs="Times New Roman"/>
        </w:rPr>
      </w:pPr>
    </w:p>
    <w:p w:rsidR="00F846D7" w:rsidRPr="00F846D7" w:rsidRDefault="00F846D7" w:rsidP="00F846D7">
      <w:pPr>
        <w:spacing w:after="160" w:line="259" w:lineRule="auto"/>
        <w:rPr>
          <w:rFonts w:ascii="Calibri" w:eastAsia="Calibri" w:hAnsi="Calibri" w:cs="Times New Roman"/>
          <w:b/>
          <w:sz w:val="56"/>
          <w:szCs w:val="56"/>
        </w:rPr>
      </w:pPr>
    </w:p>
    <w:p w:rsidR="00F846D7" w:rsidRPr="00F846D7" w:rsidRDefault="00F846D7" w:rsidP="00F846D7">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 xml:space="preserve">SEND Policy </w:t>
      </w:r>
    </w:p>
    <w:p w:rsid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 xml:space="preserve">and </w:t>
      </w:r>
    </w:p>
    <w:p w:rsidR="00F846D7" w:rsidRPr="00F846D7" w:rsidRDefault="00F846D7" w:rsidP="00F846D7">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SEND Information Report</w:t>
      </w:r>
    </w:p>
    <w:tbl>
      <w:tblPr>
        <w:tblStyle w:val="TableGrid1"/>
        <w:tblW w:w="0" w:type="auto"/>
        <w:tblLook w:val="04A0" w:firstRow="1" w:lastRow="0" w:firstColumn="1" w:lastColumn="0" w:noHBand="0" w:noVBand="1"/>
      </w:tblPr>
      <w:tblGrid>
        <w:gridCol w:w="2972"/>
        <w:gridCol w:w="6044"/>
      </w:tblGrid>
      <w:tr w:rsidR="00C027E2" w:rsidTr="000B0242">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r>
              <w:rPr>
                <w:rFonts w:ascii="Calibri" w:eastAsia="Calibri" w:hAnsi="Calibri" w:cs="Times New Roman"/>
                <w:sz w:val="24"/>
                <w:szCs w:val="24"/>
              </w:rPr>
              <w:t>March 2016</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r>
              <w:rPr>
                <w:rFonts w:ascii="Calibri" w:eastAsia="Calibri" w:hAnsi="Calibri" w:cs="Times New Roman"/>
                <w:sz w:val="24"/>
                <w:szCs w:val="24"/>
              </w:rPr>
              <w:t>February 2017</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r>
              <w:rPr>
                <w:rFonts w:ascii="Calibri" w:eastAsia="Calibri" w:hAnsi="Calibri" w:cs="Times New Roman"/>
                <w:sz w:val="24"/>
                <w:szCs w:val="24"/>
              </w:rPr>
              <w:t>HT and Pupil Well Being Team</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b/>
                <w:sz w:val="28"/>
                <w:szCs w:val="28"/>
              </w:rPr>
              <w:t>Additional guidance added:</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sz w:val="24"/>
                <w:szCs w:val="24"/>
              </w:rPr>
            </w:pPr>
          </w:p>
        </w:tc>
      </w:tr>
      <w:tr w:rsidR="00C027E2" w:rsidTr="000B0242">
        <w:tc>
          <w:tcPr>
            <w:tcW w:w="2972" w:type="dxa"/>
            <w:vMerge w:val="restart"/>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C027E2" w:rsidP="000B0242">
            <w:pPr>
              <w:rPr>
                <w:rFonts w:ascii="Calibri" w:eastAsia="Calibri" w:hAnsi="Calibri" w:cs="Times New Roman"/>
                <w:i/>
                <w:sz w:val="24"/>
                <w:szCs w:val="24"/>
              </w:rPr>
            </w:pPr>
          </w:p>
        </w:tc>
      </w:tr>
      <w:tr w:rsidR="00C027E2" w:rsidTr="000B0242">
        <w:tc>
          <w:tcPr>
            <w:tcW w:w="0" w:type="auto"/>
            <w:vMerge/>
            <w:tcBorders>
              <w:top w:val="single" w:sz="4" w:space="0" w:color="auto"/>
              <w:left w:val="single" w:sz="4" w:space="0" w:color="auto"/>
              <w:bottom w:val="single" w:sz="4" w:space="0" w:color="auto"/>
              <w:right w:val="single" w:sz="4" w:space="0" w:color="auto"/>
            </w:tcBorders>
            <w:vAlign w:val="center"/>
            <w:hideMark/>
          </w:tcPr>
          <w:p w:rsidR="00C027E2" w:rsidRDefault="00C027E2" w:rsidP="000B024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C027E2" w:rsidRPr="003F7D9D" w:rsidRDefault="00C027E2" w:rsidP="000B0242">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C027E2" w:rsidTr="000B0242">
        <w:tc>
          <w:tcPr>
            <w:tcW w:w="0" w:type="auto"/>
            <w:vMerge/>
            <w:tcBorders>
              <w:top w:val="single" w:sz="4" w:space="0" w:color="auto"/>
              <w:left w:val="single" w:sz="4" w:space="0" w:color="auto"/>
              <w:bottom w:val="single" w:sz="4" w:space="0" w:color="auto"/>
              <w:right w:val="single" w:sz="4" w:space="0" w:color="auto"/>
            </w:tcBorders>
            <w:vAlign w:val="center"/>
            <w:hideMark/>
          </w:tcPr>
          <w:p w:rsidR="00C027E2" w:rsidRDefault="00C027E2" w:rsidP="000B0242">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C027E2" w:rsidRPr="003F7D9D" w:rsidRDefault="00C027E2" w:rsidP="000B0242">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C027E2" w:rsidTr="000B0242">
        <w:tc>
          <w:tcPr>
            <w:tcW w:w="2972" w:type="dxa"/>
            <w:tcBorders>
              <w:top w:val="single" w:sz="4" w:space="0" w:color="auto"/>
              <w:left w:val="single" w:sz="4" w:space="0" w:color="auto"/>
              <w:bottom w:val="single" w:sz="4" w:space="0" w:color="auto"/>
              <w:right w:val="single" w:sz="4" w:space="0" w:color="auto"/>
            </w:tcBorders>
            <w:hideMark/>
          </w:tcPr>
          <w:p w:rsidR="00C027E2" w:rsidRDefault="00C027E2" w:rsidP="000B0242">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C027E2" w:rsidRDefault="002A3880" w:rsidP="000B0242">
            <w:pPr>
              <w:rPr>
                <w:rFonts w:ascii="Calibri" w:eastAsia="Calibri" w:hAnsi="Calibri" w:cs="Times New Roman"/>
                <w:sz w:val="24"/>
                <w:szCs w:val="24"/>
              </w:rPr>
            </w:pPr>
            <w:r>
              <w:rPr>
                <w:rFonts w:ascii="Calibri" w:eastAsia="Calibri" w:hAnsi="Calibri" w:cs="Times New Roman"/>
                <w:sz w:val="24"/>
                <w:szCs w:val="24"/>
              </w:rPr>
              <w:t>January 2019</w:t>
            </w:r>
          </w:p>
        </w:tc>
      </w:tr>
    </w:tbl>
    <w:p w:rsidR="00F846D7" w:rsidRDefault="00F846D7">
      <w:pPr>
        <w:rPr>
          <w:b/>
          <w:sz w:val="52"/>
          <w:szCs w:val="52"/>
        </w:rPr>
      </w:pPr>
    </w:p>
    <w:p w:rsidR="00F846D7" w:rsidRDefault="00F846D7">
      <w:pPr>
        <w:rPr>
          <w:b/>
          <w:sz w:val="52"/>
          <w:szCs w:val="52"/>
        </w:rPr>
      </w:pPr>
    </w:p>
    <w:p w:rsidR="0053676C" w:rsidRPr="0053676C" w:rsidRDefault="0053676C">
      <w:pPr>
        <w:rPr>
          <w:b/>
          <w:sz w:val="52"/>
          <w:szCs w:val="52"/>
        </w:rPr>
      </w:pPr>
      <w:r w:rsidRPr="0053676C">
        <w:rPr>
          <w:b/>
          <w:noProof/>
          <w:sz w:val="52"/>
          <w:szCs w:val="52"/>
          <w:lang w:eastAsia="en-GB"/>
        </w:rPr>
        <w:lastRenderedPageBreak/>
        <w:drawing>
          <wp:anchor distT="0" distB="0" distL="114300" distR="114300" simplePos="0" relativeHeight="251660288" behindDoc="0" locked="0" layoutInCell="1" allowOverlap="1" wp14:anchorId="1F869248" wp14:editId="08A6A814">
            <wp:simplePos x="0" y="0"/>
            <wp:positionH relativeFrom="column">
              <wp:posOffset>4476750</wp:posOffset>
            </wp:positionH>
            <wp:positionV relativeFrom="paragraph">
              <wp:posOffset>-295275</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r w:rsidRPr="0053676C">
        <w:rPr>
          <w:b/>
          <w:sz w:val="52"/>
          <w:szCs w:val="52"/>
        </w:rPr>
        <w:t>Red Hall Primary</w:t>
      </w:r>
    </w:p>
    <w:p w:rsidR="0053676C" w:rsidRPr="0053676C" w:rsidRDefault="0053676C">
      <w:pPr>
        <w:rPr>
          <w:b/>
          <w:sz w:val="52"/>
          <w:szCs w:val="52"/>
        </w:rPr>
      </w:pPr>
      <w:r w:rsidRPr="0053676C">
        <w:rPr>
          <w:b/>
          <w:sz w:val="52"/>
          <w:szCs w:val="52"/>
        </w:rPr>
        <w:t>S</w:t>
      </w:r>
      <w:r w:rsidR="007F6675">
        <w:rPr>
          <w:b/>
          <w:sz w:val="52"/>
          <w:szCs w:val="52"/>
        </w:rPr>
        <w:t>END</w:t>
      </w:r>
      <w:r w:rsidRPr="0053676C">
        <w:rPr>
          <w:b/>
          <w:sz w:val="52"/>
          <w:szCs w:val="52"/>
        </w:rPr>
        <w:t xml:space="preserve"> Policy</w:t>
      </w:r>
    </w:p>
    <w:p w:rsidR="00521A8D" w:rsidRDefault="00521A8D" w:rsidP="00BC3E4E">
      <w:pPr>
        <w:rPr>
          <w:b/>
        </w:rPr>
      </w:pPr>
      <w:r w:rsidRPr="00BC3E4E">
        <w:rPr>
          <w:b/>
        </w:rPr>
        <w:t>School Details</w:t>
      </w:r>
    </w:p>
    <w:p w:rsidR="00521A8D" w:rsidRDefault="007F6675" w:rsidP="00BC3E4E">
      <w:r>
        <w:rPr>
          <w:b/>
        </w:rPr>
        <w:t>SEND</w:t>
      </w:r>
      <w:r w:rsidR="00521A8D" w:rsidRPr="00BC3E4E">
        <w:rPr>
          <w:b/>
        </w:rPr>
        <w:t xml:space="preserve"> Governor:</w:t>
      </w:r>
      <w:r w:rsidR="006534FD" w:rsidRPr="00BC3E4E">
        <w:t xml:space="preserve">  </w:t>
      </w:r>
      <w:r w:rsidR="00C027E2">
        <w:t xml:space="preserve">            Emma Beale</w:t>
      </w:r>
    </w:p>
    <w:p w:rsidR="00C90B01" w:rsidRDefault="00C90B01" w:rsidP="00C90B01">
      <w:r w:rsidRPr="00C90B01">
        <w:rPr>
          <w:b/>
        </w:rPr>
        <w:t>SENDCO:</w:t>
      </w:r>
      <w:r>
        <w:t xml:space="preserve"> </w:t>
      </w:r>
      <w:r>
        <w:tab/>
      </w:r>
      <w:r>
        <w:tab/>
        <w:t>Julie Davidson</w:t>
      </w:r>
    </w:p>
    <w:p w:rsidR="00C90B01" w:rsidRDefault="00C90B01" w:rsidP="00C90B01">
      <w:r w:rsidRPr="00C90B01">
        <w:rPr>
          <w:b/>
        </w:rPr>
        <w:t>Shadow SENDCO:</w:t>
      </w:r>
      <w:r>
        <w:tab/>
        <w:t>Stacy Luxon</w:t>
      </w:r>
    </w:p>
    <w:p w:rsidR="00C90B01" w:rsidRDefault="00C90B01" w:rsidP="00C90B01">
      <w:r w:rsidRPr="00C90B01">
        <w:rPr>
          <w:b/>
        </w:rPr>
        <w:t>SENDCO Assistant:</w:t>
      </w:r>
      <w:r>
        <w:t xml:space="preserve">    </w:t>
      </w:r>
      <w:r>
        <w:tab/>
        <w:t>Debbie Hayman</w:t>
      </w:r>
      <w:r>
        <w:tab/>
      </w:r>
      <w:r>
        <w:tab/>
      </w:r>
      <w:r>
        <w:tab/>
      </w:r>
    </w:p>
    <w:p w:rsidR="001F4FB4" w:rsidRPr="001F4FB4" w:rsidRDefault="001F4FB4" w:rsidP="001F4FB4">
      <w:pPr>
        <w:rPr>
          <w:b/>
        </w:rPr>
      </w:pPr>
      <w:r w:rsidRPr="001F4FB4">
        <w:rPr>
          <w:b/>
        </w:rPr>
        <w:t>Introduction</w:t>
      </w:r>
    </w:p>
    <w:p w:rsidR="001F4FB4" w:rsidRDefault="001F4FB4" w:rsidP="001F4FB4">
      <w:r>
        <w:t>This policy was reviewed and updated in line with t</w:t>
      </w:r>
      <w:r w:rsidR="00CF58AB">
        <w:t>he 0 – 25 SEND Code of Practice 2014</w:t>
      </w:r>
    </w:p>
    <w:p w:rsidR="00AA1773" w:rsidRPr="00AA1773" w:rsidRDefault="00AA1773" w:rsidP="00AA1773">
      <w:r w:rsidRPr="00AA1773">
        <w:t>A</w:t>
      </w:r>
      <w:r w:rsidR="00CF58AB">
        <w:t>s outlined in this document, al</w:t>
      </w:r>
      <w:r w:rsidR="00CF58AB" w:rsidRPr="00AA1773">
        <w:t>l</w:t>
      </w:r>
      <w:r w:rsidRPr="00AA1773">
        <w:t xml:space="preserve"> children and young people are entitled to an education that enables them to make</w:t>
      </w:r>
      <w:r w:rsidR="00CF58AB">
        <w:t xml:space="preserve"> </w:t>
      </w:r>
      <w:r w:rsidRPr="00AA1773">
        <w:t>progress so that they:</w:t>
      </w:r>
    </w:p>
    <w:p w:rsidR="00CF58AB" w:rsidRDefault="00AA1773" w:rsidP="00F82070">
      <w:pPr>
        <w:pStyle w:val="ListParagraph"/>
        <w:numPr>
          <w:ilvl w:val="0"/>
          <w:numId w:val="1"/>
        </w:numPr>
      </w:pPr>
      <w:r w:rsidRPr="00AA1773">
        <w:t>achieve their best</w:t>
      </w:r>
    </w:p>
    <w:p w:rsidR="00CF58AB" w:rsidRPr="00AA1773" w:rsidRDefault="00AA1773" w:rsidP="00F82070">
      <w:pPr>
        <w:pStyle w:val="ListParagraph"/>
        <w:numPr>
          <w:ilvl w:val="0"/>
          <w:numId w:val="1"/>
        </w:numPr>
      </w:pPr>
      <w:r w:rsidRPr="00AA1773">
        <w:t>become confident individuals living fulfilling lives</w:t>
      </w:r>
    </w:p>
    <w:p w:rsidR="00AA1773" w:rsidRPr="00AA1773" w:rsidRDefault="00AA1773" w:rsidP="00AA1773">
      <w:r w:rsidRPr="00AA1773">
        <w:t>A pupil has Special Educational Needs where their learning difficulty or disability calls for</w:t>
      </w:r>
      <w:r w:rsidR="00CF58AB">
        <w:t xml:space="preserve"> </w:t>
      </w:r>
      <w:r w:rsidRPr="00AA1773">
        <w:t>special educational provision, namely provision different from or additional to that normally</w:t>
      </w:r>
      <w:r w:rsidR="00CF58AB">
        <w:t xml:space="preserve"> </w:t>
      </w:r>
      <w:r w:rsidRPr="00AA1773">
        <w:t>available to pupils of the same age and is within the four broad areas of need.</w:t>
      </w:r>
    </w:p>
    <w:p w:rsidR="00CF58AB" w:rsidRDefault="00AA1773" w:rsidP="00F82070">
      <w:pPr>
        <w:pStyle w:val="ListParagraph"/>
        <w:numPr>
          <w:ilvl w:val="0"/>
          <w:numId w:val="2"/>
        </w:numPr>
      </w:pPr>
      <w:r w:rsidRPr="00AA1773">
        <w:t>communication and interaction</w:t>
      </w:r>
    </w:p>
    <w:p w:rsidR="00CF58AB" w:rsidRDefault="00AA1773" w:rsidP="00F82070">
      <w:pPr>
        <w:pStyle w:val="ListParagraph"/>
        <w:numPr>
          <w:ilvl w:val="0"/>
          <w:numId w:val="2"/>
        </w:numPr>
      </w:pPr>
      <w:r w:rsidRPr="00AA1773">
        <w:t>cognition and learning,</w:t>
      </w:r>
    </w:p>
    <w:p w:rsidR="00CF58AB" w:rsidRDefault="00AA1773" w:rsidP="00F82070">
      <w:pPr>
        <w:pStyle w:val="ListParagraph"/>
        <w:numPr>
          <w:ilvl w:val="0"/>
          <w:numId w:val="2"/>
        </w:numPr>
      </w:pPr>
      <w:r w:rsidRPr="00AA1773">
        <w:t>social, emotional and mental health difficulty</w:t>
      </w:r>
    </w:p>
    <w:p w:rsidR="00AA1773" w:rsidRPr="00AA1773" w:rsidRDefault="00AA1773" w:rsidP="00F82070">
      <w:pPr>
        <w:pStyle w:val="ListParagraph"/>
        <w:numPr>
          <w:ilvl w:val="0"/>
          <w:numId w:val="2"/>
        </w:numPr>
      </w:pPr>
      <w:r w:rsidRPr="00AA1773">
        <w:t>sensory and or physical need</w:t>
      </w:r>
    </w:p>
    <w:p w:rsidR="00AA1773" w:rsidRPr="00513AFA" w:rsidRDefault="00AA1773" w:rsidP="00AA1773">
      <w:pPr>
        <w:rPr>
          <w:b/>
        </w:rPr>
      </w:pPr>
      <w:r w:rsidRPr="00513AFA">
        <w:rPr>
          <w:b/>
        </w:rPr>
        <w:t xml:space="preserve">Our </w:t>
      </w:r>
      <w:r w:rsidR="00513AFA">
        <w:rPr>
          <w:b/>
        </w:rPr>
        <w:t xml:space="preserve">aims and </w:t>
      </w:r>
      <w:r w:rsidRPr="00513AFA">
        <w:rPr>
          <w:b/>
        </w:rPr>
        <w:t>objectives are;</w:t>
      </w:r>
    </w:p>
    <w:p w:rsidR="00AA1773" w:rsidRPr="00AA1773" w:rsidRDefault="00AA1773" w:rsidP="00AA1773">
      <w:r w:rsidRPr="00AA1773">
        <w:t>1. To identify and provide support for pupils who have SEN</w:t>
      </w:r>
      <w:r w:rsidR="00513AFA">
        <w:t>D</w:t>
      </w:r>
      <w:r w:rsidRPr="00AA1773">
        <w:t xml:space="preserve"> and additional needs</w:t>
      </w:r>
    </w:p>
    <w:p w:rsidR="00AA1773" w:rsidRPr="00AA1773" w:rsidRDefault="00AA1773" w:rsidP="00AA1773">
      <w:r w:rsidRPr="00AA1773">
        <w:t>2. To work within the guidance provided in the SEND Code of Practice 2014</w:t>
      </w:r>
    </w:p>
    <w:p w:rsidR="00AA1773" w:rsidRPr="00AA1773" w:rsidRDefault="00AA1773" w:rsidP="00AA1773">
      <w:r w:rsidRPr="00AA1773">
        <w:t>3. To provide an environment whereby a child has the opportunity to make progress</w:t>
      </w:r>
      <w:r w:rsidR="00CF58AB">
        <w:t xml:space="preserve"> </w:t>
      </w:r>
      <w:r w:rsidRPr="00AA1773">
        <w:t>academically, socially and physically as part of a mainstream school</w:t>
      </w:r>
    </w:p>
    <w:p w:rsidR="00AA1773" w:rsidRDefault="00AA1773" w:rsidP="00AA1773">
      <w:r w:rsidRPr="00AA1773">
        <w:t>4. To create a support structure to enable individuals to achieve</w:t>
      </w:r>
    </w:p>
    <w:p w:rsidR="00F846D7" w:rsidRDefault="00F846D7" w:rsidP="001F4FB4">
      <w:pPr>
        <w:rPr>
          <w:b/>
        </w:rPr>
      </w:pPr>
    </w:p>
    <w:p w:rsidR="009B30B6" w:rsidRDefault="009B30B6" w:rsidP="001F4FB4">
      <w:pPr>
        <w:rPr>
          <w:b/>
        </w:rPr>
      </w:pPr>
    </w:p>
    <w:p w:rsidR="009B30B6" w:rsidRDefault="009B30B6" w:rsidP="001F4FB4">
      <w:pPr>
        <w:rPr>
          <w:b/>
        </w:rPr>
      </w:pPr>
    </w:p>
    <w:p w:rsidR="00AA1773" w:rsidRPr="00CF58AB" w:rsidRDefault="00CF58AB" w:rsidP="001F4FB4">
      <w:pPr>
        <w:rPr>
          <w:b/>
        </w:rPr>
      </w:pPr>
      <w:r w:rsidRPr="00CF58AB">
        <w:rPr>
          <w:b/>
        </w:rPr>
        <w:lastRenderedPageBreak/>
        <w:t>The role of the SEND Co-ordinator</w:t>
      </w:r>
    </w:p>
    <w:p w:rsidR="00CF58AB" w:rsidRDefault="00CF58AB" w:rsidP="00CF58AB">
      <w:r>
        <w:t>The SENDCo will work within a SEND team to:</w:t>
      </w:r>
    </w:p>
    <w:p w:rsidR="00CF58AB" w:rsidRDefault="00CF58AB" w:rsidP="00F82070">
      <w:pPr>
        <w:pStyle w:val="ListParagraph"/>
        <w:numPr>
          <w:ilvl w:val="0"/>
          <w:numId w:val="3"/>
        </w:numPr>
      </w:pPr>
      <w:r>
        <w:t>Work in conjunction with staff to identify and monitor children who have SEN</w:t>
      </w:r>
    </w:p>
    <w:p w:rsidR="00CF58AB" w:rsidRDefault="00CF58AB" w:rsidP="00F82070">
      <w:pPr>
        <w:pStyle w:val="ListParagraph"/>
        <w:numPr>
          <w:ilvl w:val="0"/>
          <w:numId w:val="3"/>
        </w:numPr>
      </w:pPr>
      <w:r>
        <w:t>Attend termly meetings with each year group to review progress</w:t>
      </w:r>
    </w:p>
    <w:p w:rsidR="00CF58AB" w:rsidRDefault="00CF58AB" w:rsidP="00F82070">
      <w:pPr>
        <w:pStyle w:val="ListParagraph"/>
        <w:numPr>
          <w:ilvl w:val="0"/>
          <w:numId w:val="3"/>
        </w:numPr>
      </w:pPr>
      <w:r>
        <w:t>Oversee the SEN records of all children on the SEN register</w:t>
      </w:r>
    </w:p>
    <w:p w:rsidR="00CF58AB" w:rsidRDefault="00CF58AB" w:rsidP="00F82070">
      <w:pPr>
        <w:pStyle w:val="ListParagraph"/>
        <w:numPr>
          <w:ilvl w:val="0"/>
          <w:numId w:val="3"/>
        </w:numPr>
      </w:pPr>
      <w:r>
        <w:t>Arrange for assessment, where appropriate and ensure parents are informed</w:t>
      </w:r>
    </w:p>
    <w:p w:rsidR="00CF58AB" w:rsidRDefault="00CF58AB" w:rsidP="00F82070">
      <w:pPr>
        <w:pStyle w:val="ListParagraph"/>
        <w:numPr>
          <w:ilvl w:val="0"/>
          <w:numId w:val="3"/>
        </w:numPr>
      </w:pPr>
      <w:r>
        <w:t>Liaise with external agencies e.g Educational Psychologist, Health and Social Services</w:t>
      </w:r>
    </w:p>
    <w:p w:rsidR="00CF58AB" w:rsidRDefault="00CF58AB" w:rsidP="00F82070">
      <w:pPr>
        <w:pStyle w:val="ListParagraph"/>
        <w:numPr>
          <w:ilvl w:val="0"/>
          <w:numId w:val="3"/>
        </w:numPr>
      </w:pPr>
      <w:r>
        <w:t>Work with Head Teacher, SLT and SEN Governor evaluating information and informing them of any issues</w:t>
      </w:r>
    </w:p>
    <w:p w:rsidR="00513AFA" w:rsidRPr="00513AFA" w:rsidRDefault="00513AFA" w:rsidP="00513AFA">
      <w:pPr>
        <w:rPr>
          <w:b/>
        </w:rPr>
      </w:pPr>
      <w:r w:rsidRPr="00513AFA">
        <w:rPr>
          <w:b/>
        </w:rPr>
        <w:t>Identification, assessment and provision for pupils with SEN</w:t>
      </w:r>
    </w:p>
    <w:p w:rsidR="00513AFA" w:rsidRPr="00513AFA" w:rsidRDefault="00513AFA" w:rsidP="00513AFA">
      <w:r w:rsidRPr="00513AFA">
        <w:t>In the continuous cycle of planning, teaching and assessment, teachers and support staff</w:t>
      </w:r>
      <w:r>
        <w:t xml:space="preserve"> </w:t>
      </w:r>
      <w:r w:rsidRPr="00513AFA">
        <w:t>make regular judgements about children’s performance in relation to national expectation.</w:t>
      </w:r>
    </w:p>
    <w:p w:rsidR="00513AFA" w:rsidRPr="00513AFA" w:rsidRDefault="00513AFA" w:rsidP="00513AFA">
      <w:pPr>
        <w:rPr>
          <w:i/>
        </w:rPr>
      </w:pPr>
      <w:r w:rsidRPr="00513AFA">
        <w:t>These</w:t>
      </w:r>
      <w:r>
        <w:t xml:space="preserve"> judgements will be discusses at termly</w:t>
      </w:r>
      <w:r w:rsidRPr="00513AFA">
        <w:t xml:space="preserve"> </w:t>
      </w:r>
      <w:r w:rsidRPr="00513AFA">
        <w:rPr>
          <w:i/>
          <w:iCs/>
        </w:rPr>
        <w:t xml:space="preserve">Pupil Progress Meetings </w:t>
      </w:r>
      <w:r w:rsidRPr="00513AFA">
        <w:t xml:space="preserve">and the termly </w:t>
      </w:r>
      <w:r w:rsidRPr="00513AFA">
        <w:rPr>
          <w:i/>
        </w:rPr>
        <w:t xml:space="preserve">SEND </w:t>
      </w:r>
      <w:r w:rsidRPr="00513AFA">
        <w:rPr>
          <w:i/>
          <w:iCs/>
        </w:rPr>
        <w:t>Review meetings</w:t>
      </w:r>
      <w:r w:rsidRPr="00513AFA">
        <w:rPr>
          <w:i/>
        </w:rPr>
        <w:t>.</w:t>
      </w:r>
    </w:p>
    <w:p w:rsidR="00513AFA" w:rsidRPr="00513AFA" w:rsidRDefault="00513AFA" w:rsidP="00513AFA">
      <w:r w:rsidRPr="00513AFA">
        <w:t>We also identify SEN needs through;</w:t>
      </w:r>
    </w:p>
    <w:p w:rsidR="00513AFA" w:rsidRDefault="00513AFA" w:rsidP="00F82070">
      <w:pPr>
        <w:pStyle w:val="ListParagraph"/>
        <w:numPr>
          <w:ilvl w:val="0"/>
          <w:numId w:val="4"/>
        </w:numPr>
      </w:pPr>
      <w:r w:rsidRPr="00513AFA">
        <w:t>information directly given by parents</w:t>
      </w:r>
    </w:p>
    <w:p w:rsidR="00513AFA" w:rsidRDefault="00513AFA" w:rsidP="00F82070">
      <w:pPr>
        <w:pStyle w:val="ListParagraph"/>
        <w:numPr>
          <w:ilvl w:val="0"/>
          <w:numId w:val="4"/>
        </w:numPr>
      </w:pPr>
      <w:r w:rsidRPr="00513AFA">
        <w:t>data gathered from in school assessments</w:t>
      </w:r>
    </w:p>
    <w:p w:rsidR="00513AFA" w:rsidRPr="00513AFA" w:rsidRDefault="00513AFA" w:rsidP="00F82070">
      <w:pPr>
        <w:pStyle w:val="ListParagraph"/>
        <w:numPr>
          <w:ilvl w:val="0"/>
          <w:numId w:val="4"/>
        </w:numPr>
      </w:pPr>
      <w:r w:rsidRPr="00513AFA">
        <w:t>recommendations from other professionals; Health and Social Care</w:t>
      </w:r>
    </w:p>
    <w:p w:rsidR="00CF58AB" w:rsidRDefault="00513AFA" w:rsidP="00513AFA">
      <w:r w:rsidRPr="00513AFA">
        <w:t>There should not be an assumption that all children progress at the same rate, a judgement</w:t>
      </w:r>
      <w:r>
        <w:t xml:space="preserve"> </w:t>
      </w:r>
      <w:r w:rsidRPr="00513AFA">
        <w:t>has to be made in each case as to what is reasonable for each child to achieve. Where</w:t>
      </w:r>
      <w:r>
        <w:t xml:space="preserve"> </w:t>
      </w:r>
      <w:r w:rsidRPr="00513AFA">
        <w:t>progress is not adequate it will be necessary to take some additional or different action to</w:t>
      </w:r>
      <w:r>
        <w:t xml:space="preserve"> </w:t>
      </w:r>
      <w:r w:rsidRPr="00513AFA">
        <w:t>enable the pupil to learn more effectively.</w:t>
      </w:r>
    </w:p>
    <w:p w:rsidR="00FD34CD" w:rsidRPr="00FD34CD" w:rsidRDefault="00FD34CD" w:rsidP="00FD34CD">
      <w:pPr>
        <w:rPr>
          <w:b/>
        </w:rPr>
      </w:pPr>
      <w:r w:rsidRPr="00FD34CD">
        <w:rPr>
          <w:b/>
        </w:rPr>
        <w:t>SEND Pupil Review Meetings</w:t>
      </w:r>
    </w:p>
    <w:p w:rsidR="00FD34CD" w:rsidRDefault="00FD34CD" w:rsidP="00FD34CD">
      <w:r>
        <w:t xml:space="preserve">Each term a meeting is held by the SEND team with every year </w:t>
      </w:r>
      <w:r w:rsidR="007053D3">
        <w:t>group to</w:t>
      </w:r>
      <w:r>
        <w:t xml:space="preserve"> discuss the progress of children identified as having additional needs. Individuals and groups of children will be targeted for specific interventions t</w:t>
      </w:r>
      <w:r w:rsidR="007053D3">
        <w:t xml:space="preserve">o help raise their attainment. </w:t>
      </w:r>
      <w:r>
        <w:t>Discussions are shared on progress and any continuing concerns where the SENCO offers advice and support. Discussions are also held with parents to detail interventions that their child is having in school and additional meetings are held with the SENCO to discuss progress where necessary.</w:t>
      </w:r>
    </w:p>
    <w:p w:rsidR="00FD34CD" w:rsidRDefault="00FD34CD" w:rsidP="00FD34CD">
      <w:r>
        <w:t>Teachers also discuss progress in Pupil Progress Meetings and any concerns over individuals are discussed again with the SEN</w:t>
      </w:r>
      <w:r w:rsidR="00113D1C">
        <w:t>D</w:t>
      </w:r>
      <w:r>
        <w:t>CO to see if additional support is to be implemented.</w:t>
      </w:r>
    </w:p>
    <w:p w:rsidR="00FD34CD" w:rsidRDefault="00FD34CD" w:rsidP="00FD34CD">
      <w:r>
        <w:t>Assessments are carried out throughout the year which informs these meetings and targets are put in place for individuals.</w:t>
      </w:r>
    </w:p>
    <w:p w:rsidR="00595E85" w:rsidRDefault="00595E85" w:rsidP="00FD34CD"/>
    <w:p w:rsidR="00595E85" w:rsidRDefault="00595E85" w:rsidP="00FD34CD"/>
    <w:p w:rsidR="00FD34CD" w:rsidRDefault="00FD34CD" w:rsidP="00FD34CD">
      <w:r>
        <w:lastRenderedPageBreak/>
        <w:t>School Support Plans are put in place for children with specific additional needs, such as:</w:t>
      </w:r>
    </w:p>
    <w:p w:rsidR="00FD34CD" w:rsidRDefault="00FD34CD" w:rsidP="00FD34CD">
      <w:r>
        <w:t>• Physical aids/interventions</w:t>
      </w:r>
    </w:p>
    <w:p w:rsidR="00FD34CD" w:rsidRDefault="00FD34CD" w:rsidP="00FD34CD">
      <w:r>
        <w:t>• Visual/Hearing impairments</w:t>
      </w:r>
    </w:p>
    <w:p w:rsidR="00FD34CD" w:rsidRDefault="00FD34CD" w:rsidP="00FD34CD">
      <w:r>
        <w:t>• Behaviour contracts</w:t>
      </w:r>
    </w:p>
    <w:p w:rsidR="00FD34CD" w:rsidRDefault="00FD34CD" w:rsidP="00FD34CD">
      <w:r>
        <w:t>• ASD 1:1 support</w:t>
      </w:r>
    </w:p>
    <w:p w:rsidR="00FD34CD" w:rsidRDefault="00FD34CD" w:rsidP="00FD34CD">
      <w:r>
        <w:t>• Medical needs</w:t>
      </w:r>
    </w:p>
    <w:p w:rsidR="00FD34CD" w:rsidRDefault="00FD34CD" w:rsidP="00FD34CD">
      <w:r>
        <w:t>Targets are reviewed and evaluated and progress monitored. If a child is seen to be making progress in line with peers they will continue to receive support, where needed, but discussions will take place with the class teacher and parents, as to if they need to remain on the SEN</w:t>
      </w:r>
      <w:r w:rsidR="00595E85">
        <w:t>D</w:t>
      </w:r>
      <w:r>
        <w:t xml:space="preserve"> register.</w:t>
      </w:r>
    </w:p>
    <w:p w:rsidR="00FD34CD" w:rsidRDefault="00FD34CD" w:rsidP="00FD34CD">
      <w:r w:rsidRPr="00FD34CD">
        <w:t>If a child continues to demonstrate significant cause for concern, despite interventions that are matched to the pupil’s areas of need, the school will meet with family/carers to draw together a ‘One Plan’. This plan is reviewed regularly (Assess-Plan-Do-Review). A referral may be made to other professionals who would undertake assessments as appropriate. If the outcomes on the ‘One Plan’ are not achieved, it may become necessary to make a formal request to the local authority to conduct an EHC (Education, Health and Care) needs assessment which may lead to an EHC plan.</w:t>
      </w:r>
    </w:p>
    <w:p w:rsidR="00FD34CD" w:rsidRDefault="00FD34CD" w:rsidP="00FD34CD"/>
    <w:p w:rsidR="00FD34CD" w:rsidRPr="00FD34CD" w:rsidRDefault="00FD34CD" w:rsidP="00FD34CD">
      <w:pPr>
        <w:rPr>
          <w:b/>
        </w:rPr>
      </w:pPr>
      <w:r w:rsidRPr="00FD34CD">
        <w:rPr>
          <w:b/>
        </w:rPr>
        <w:t>Monitoring</w:t>
      </w:r>
    </w:p>
    <w:p w:rsidR="00FD34CD" w:rsidRDefault="00FD34CD" w:rsidP="00FD34CD">
      <w:r>
        <w:t>The SEN</w:t>
      </w:r>
      <w:r w:rsidR="00595E85">
        <w:t>D</w:t>
      </w:r>
      <w:r>
        <w:t xml:space="preserve">CO evaluates the school’s SEN provision as part </w:t>
      </w:r>
      <w:r w:rsidR="00595E85">
        <w:t xml:space="preserve">of the School Improvement Plan.  </w:t>
      </w:r>
      <w:r>
        <w:t>Regular meetings are held between the SEN</w:t>
      </w:r>
      <w:r w:rsidR="00595E85">
        <w:t>D</w:t>
      </w:r>
      <w:r>
        <w:t>CO, Head teach</w:t>
      </w:r>
      <w:r w:rsidR="00595E85">
        <w:t>er and Well Being Team</w:t>
      </w:r>
      <w:r>
        <w:t>. The Designated Governor is kept informed abou</w:t>
      </w:r>
      <w:r w:rsidR="00595E85">
        <w:t xml:space="preserve">t SEN developments at governors </w:t>
      </w:r>
      <w:r>
        <w:t>meetings and on visits round the school.</w:t>
      </w:r>
    </w:p>
    <w:p w:rsidR="00FD34CD" w:rsidRDefault="00FD34CD" w:rsidP="00FD34CD">
      <w:r>
        <w:t>The SEN</w:t>
      </w:r>
      <w:r w:rsidR="00595E85">
        <w:t xml:space="preserve">D team are provided with release time </w:t>
      </w:r>
      <w:r>
        <w:t>each week and will sp</w:t>
      </w:r>
      <w:r w:rsidR="00595E85">
        <w:t xml:space="preserve">end some of the time monitoring </w:t>
      </w:r>
      <w:r>
        <w:t xml:space="preserve">teachers planning and </w:t>
      </w:r>
      <w:r w:rsidR="00595E85">
        <w:t>i</w:t>
      </w:r>
      <w:r>
        <w:t>ntervention strategies to support children with SEN</w:t>
      </w:r>
    </w:p>
    <w:p w:rsidR="00FD34CD" w:rsidRDefault="00FD34CD" w:rsidP="00FD34CD">
      <w:r>
        <w:t xml:space="preserve">The school organisation allows for each year group to have </w:t>
      </w:r>
      <w:r w:rsidR="00595E85">
        <w:t xml:space="preserve">teaching assistant support. </w:t>
      </w:r>
      <w:r>
        <w:t xml:space="preserve">Work is differentiated </w:t>
      </w:r>
      <w:r w:rsidR="00595E85">
        <w:t xml:space="preserve">and groups are supported at the </w:t>
      </w:r>
      <w:r>
        <w:t xml:space="preserve">appropriate levels to provide specific, targeted interventions. </w:t>
      </w:r>
      <w:r w:rsidR="00595E85">
        <w:t xml:space="preserve">  There </w:t>
      </w:r>
      <w:r>
        <w:t xml:space="preserve">are numerous strategies that are used throughout the school. There is </w:t>
      </w:r>
      <w:r w:rsidR="00595E85">
        <w:t xml:space="preserve">also flexibility to provide </w:t>
      </w:r>
      <w:r>
        <w:t>support across year groups if it would benefit an individual child or group.</w:t>
      </w:r>
    </w:p>
    <w:p w:rsidR="00CF58AB" w:rsidRDefault="00CF58AB" w:rsidP="001F4FB4"/>
    <w:p w:rsidR="00CF58AB" w:rsidRDefault="00CF58AB" w:rsidP="001F4FB4"/>
    <w:p w:rsidR="00CF58AB" w:rsidRDefault="00CF58AB" w:rsidP="001F4FB4"/>
    <w:p w:rsidR="00CF58AB" w:rsidRDefault="00CF58AB" w:rsidP="001F4FB4"/>
    <w:p w:rsidR="00C027E2" w:rsidRDefault="00C027E2" w:rsidP="001F4FB4"/>
    <w:p w:rsidR="00CF58AB" w:rsidRDefault="00CF58AB" w:rsidP="001F4FB4"/>
    <w:p w:rsidR="007053D3" w:rsidRPr="007053D3" w:rsidRDefault="007053D3" w:rsidP="007053D3">
      <w:pPr>
        <w:rPr>
          <w:b/>
        </w:rPr>
      </w:pPr>
      <w:r w:rsidRPr="007053D3">
        <w:rPr>
          <w:b/>
        </w:rPr>
        <w:t>Supporting pupils with medical conditions</w:t>
      </w:r>
    </w:p>
    <w:p w:rsidR="007053D3" w:rsidRDefault="007053D3" w:rsidP="007053D3">
      <w:r>
        <w:t>Red Hall Primary School recognises that pupils at school with medical conditions should be properly supported so that they have full access to education, including school trips and physical education.   A care plan is created for these children and reviewed regularly.  Some children with medical conditions may be disabled and where this is the case schools will comply with its duties under the Equality Act 2010.</w:t>
      </w:r>
    </w:p>
    <w:p w:rsidR="007053D3" w:rsidRPr="007053D3" w:rsidRDefault="007053D3" w:rsidP="007053D3">
      <w:pPr>
        <w:rPr>
          <w:b/>
        </w:rPr>
      </w:pPr>
      <w:r w:rsidRPr="007053D3">
        <w:rPr>
          <w:b/>
        </w:rPr>
        <w:t>Supporting pupils with disabilities</w:t>
      </w:r>
    </w:p>
    <w:p w:rsidR="007053D3" w:rsidRDefault="007053D3" w:rsidP="007053D3">
      <w:r>
        <w:t>Not all children with disabilities have SEN, many pupils will learn alongside their peers with little need for extra resources beyond that of a hearing aid, equipment to aid vision or a wheel chair. Teachers must however take action in their planning to ensure that these pupils are enabled to participate as fully as possible within the Curriculum and assessment arrangements.</w:t>
      </w:r>
    </w:p>
    <w:p w:rsidR="007053D3" w:rsidRDefault="007053D3" w:rsidP="007053D3">
      <w:r>
        <w:t>Facilities currently in school are; disabled toilets and shower, hand rails near stairs, lift and ramp.</w:t>
      </w:r>
    </w:p>
    <w:p w:rsidR="007053D3" w:rsidRPr="007053D3" w:rsidRDefault="007053D3" w:rsidP="007053D3">
      <w:pPr>
        <w:rPr>
          <w:b/>
        </w:rPr>
      </w:pPr>
      <w:r w:rsidRPr="007053D3">
        <w:rPr>
          <w:b/>
        </w:rPr>
        <w:t>English as an additional language (EAL)</w:t>
      </w:r>
    </w:p>
    <w:p w:rsidR="00CF58AB" w:rsidRDefault="007053D3" w:rsidP="007053D3">
      <w:r>
        <w:t>Children with limited English do not necessarily have SEN. If a child is experiencing difficulties with appear to be more than language based then school will arrange for assessments to be carried out to establish whether or not they have learning difficulties.</w:t>
      </w:r>
    </w:p>
    <w:p w:rsidR="00CF58AB" w:rsidRDefault="00CF58AB" w:rsidP="001F4FB4"/>
    <w:p w:rsidR="007053D3" w:rsidRPr="007053D3" w:rsidRDefault="007053D3" w:rsidP="007053D3">
      <w:pPr>
        <w:rPr>
          <w:b/>
        </w:rPr>
      </w:pPr>
      <w:r w:rsidRPr="007053D3">
        <w:rPr>
          <w:b/>
        </w:rPr>
        <w:t>Training</w:t>
      </w:r>
    </w:p>
    <w:p w:rsidR="007053D3" w:rsidRDefault="007053D3" w:rsidP="007053D3">
      <w:r>
        <w:t>The SENDCO will keep staff updated on any changes concerning SEN and encourage personal development in this field.  SENDCO will budget appropriately for SEN priorities outlined in the School Improvement Plan.</w:t>
      </w:r>
    </w:p>
    <w:p w:rsidR="007053D3" w:rsidRDefault="007053D3" w:rsidP="007053D3">
      <w:r>
        <w:t>Red Hall continues to be part of the Darlington SEN Network, having access to training and support.</w:t>
      </w:r>
    </w:p>
    <w:p w:rsidR="007053D3" w:rsidRPr="007053D3" w:rsidRDefault="007053D3" w:rsidP="007053D3">
      <w:pPr>
        <w:rPr>
          <w:b/>
        </w:rPr>
      </w:pPr>
      <w:r w:rsidRPr="007053D3">
        <w:rPr>
          <w:b/>
        </w:rPr>
        <w:t>Partnership with parents</w:t>
      </w:r>
    </w:p>
    <w:p w:rsidR="007053D3" w:rsidRDefault="007053D3" w:rsidP="007053D3">
      <w:r>
        <w:t>The school will endeavour to;</w:t>
      </w:r>
    </w:p>
    <w:p w:rsidR="007053D3" w:rsidRDefault="007053D3" w:rsidP="00F82070">
      <w:pPr>
        <w:pStyle w:val="ListParagraph"/>
        <w:numPr>
          <w:ilvl w:val="0"/>
          <w:numId w:val="5"/>
        </w:numPr>
      </w:pPr>
      <w:r>
        <w:t>Provide clear and accurate information about the child’s SEN and purpose of any assessment, targets or intervention</w:t>
      </w:r>
    </w:p>
    <w:p w:rsidR="007053D3" w:rsidRDefault="007053D3" w:rsidP="00F82070">
      <w:pPr>
        <w:pStyle w:val="ListParagraph"/>
        <w:numPr>
          <w:ilvl w:val="0"/>
          <w:numId w:val="5"/>
        </w:numPr>
      </w:pPr>
      <w:r>
        <w:t xml:space="preserve">Ensure that parents have the opportunity to talk with SENCO, Vulnerable Pupil Support Manager and other professionals so that they understand the agreed outcomes of any intervention and how they can be a partner in working towards their child’s targets </w:t>
      </w:r>
    </w:p>
    <w:p w:rsidR="007053D3" w:rsidRDefault="007053D3" w:rsidP="00F82070">
      <w:pPr>
        <w:pStyle w:val="ListParagraph"/>
        <w:numPr>
          <w:ilvl w:val="0"/>
          <w:numId w:val="5"/>
        </w:numPr>
      </w:pPr>
      <w:r>
        <w:t>Outline provision in the Local Offer [Appendix 1]</w:t>
      </w:r>
    </w:p>
    <w:p w:rsidR="00CF58AB" w:rsidRDefault="007053D3" w:rsidP="00F82070">
      <w:pPr>
        <w:pStyle w:val="ListParagraph"/>
        <w:numPr>
          <w:ilvl w:val="0"/>
          <w:numId w:val="5"/>
        </w:numPr>
      </w:pPr>
      <w:r>
        <w:t xml:space="preserve"> Inform parents before involving outside agencies for additional advice or assessments</w:t>
      </w:r>
    </w:p>
    <w:p w:rsidR="00573F08" w:rsidRDefault="00573F08" w:rsidP="00573F08">
      <w:pPr>
        <w:rPr>
          <w:b/>
        </w:rPr>
      </w:pPr>
    </w:p>
    <w:p w:rsidR="00573F08" w:rsidRDefault="00573F08" w:rsidP="00573F08">
      <w:pPr>
        <w:rPr>
          <w:b/>
        </w:rPr>
      </w:pPr>
    </w:p>
    <w:p w:rsidR="00573F08" w:rsidRPr="00573F08" w:rsidRDefault="00573F08" w:rsidP="00573F08">
      <w:pPr>
        <w:rPr>
          <w:b/>
        </w:rPr>
      </w:pPr>
      <w:r w:rsidRPr="00573F08">
        <w:rPr>
          <w:b/>
        </w:rPr>
        <w:t>Arrangements for considering</w:t>
      </w:r>
      <w:r>
        <w:rPr>
          <w:b/>
        </w:rPr>
        <w:t xml:space="preserve"> complaints about SEN </w:t>
      </w:r>
      <w:r w:rsidRPr="00573F08">
        <w:rPr>
          <w:b/>
        </w:rPr>
        <w:t>provision within school</w:t>
      </w:r>
    </w:p>
    <w:p w:rsidR="00573F08" w:rsidRDefault="00573F08" w:rsidP="00573F08">
      <w:r>
        <w:t>Initially, complaints should be discussed with the class teacher. Depending on the outcome of the meeting the SENDCO should be informed or Head Teacher.</w:t>
      </w:r>
    </w:p>
    <w:p w:rsidR="00573F08" w:rsidRDefault="00573F08" w:rsidP="00573F08">
      <w:r>
        <w:t>If no agreement can be arrived at the parent can then approach the school’s named governor with responsibility for the monitoring of the schools SEN policy. They would also be given the name of the LEA identified/nominated person who have been trained to help them deal with their problem, or the Parent Partnership Service.</w:t>
      </w:r>
    </w:p>
    <w:p w:rsidR="00CF58AB" w:rsidRDefault="00573F08" w:rsidP="00573F08">
      <w:r>
        <w:t>It is hoped, however, that matters can be dealt with within the school domain.</w:t>
      </w:r>
    </w:p>
    <w:p w:rsidR="00DF6502" w:rsidRDefault="00DF6502" w:rsidP="00573F08"/>
    <w:p w:rsidR="00DF6502" w:rsidRDefault="00DF6502" w:rsidP="00573F08"/>
    <w:p w:rsidR="00DF6502" w:rsidRPr="00DF6502" w:rsidRDefault="00DF6502" w:rsidP="00573F08">
      <w:pPr>
        <w:rPr>
          <w:b/>
        </w:rPr>
      </w:pPr>
    </w:p>
    <w:p w:rsidR="003D5DCA" w:rsidRDefault="003D5DCA" w:rsidP="00573F08"/>
    <w:p w:rsidR="003D5DCA" w:rsidRDefault="003D5DCA" w:rsidP="00573F08"/>
    <w:p w:rsidR="003D5DCA" w:rsidRDefault="003D5DCA" w:rsidP="00573F08"/>
    <w:p w:rsidR="003D5DCA" w:rsidRDefault="003D5DCA" w:rsidP="00573F08"/>
    <w:p w:rsidR="003D5DCA" w:rsidRDefault="003D5DCA" w:rsidP="00573F08"/>
    <w:p w:rsidR="003D5DCA" w:rsidRDefault="003D5DCA" w:rsidP="00573F08"/>
    <w:p w:rsidR="00F846D7" w:rsidRDefault="00F846D7" w:rsidP="00573F08"/>
    <w:p w:rsidR="00F846D7" w:rsidRDefault="00F846D7" w:rsidP="00573F08"/>
    <w:p w:rsidR="00F846D7" w:rsidRDefault="00F846D7" w:rsidP="00573F08"/>
    <w:p w:rsidR="00F846D7" w:rsidRDefault="00F846D7" w:rsidP="00573F08"/>
    <w:p w:rsidR="00F846D7" w:rsidRDefault="00F846D7" w:rsidP="00573F08"/>
    <w:p w:rsidR="00C027E2" w:rsidRDefault="00C027E2" w:rsidP="00573F08"/>
    <w:p w:rsidR="00C027E2" w:rsidRDefault="00C027E2" w:rsidP="00573F08"/>
    <w:p w:rsidR="00C027E2" w:rsidRDefault="00C027E2" w:rsidP="00573F08"/>
    <w:p w:rsidR="00C027E2" w:rsidRDefault="00C027E2" w:rsidP="00573F08"/>
    <w:p w:rsidR="00C027E2" w:rsidRDefault="00C027E2" w:rsidP="00573F08"/>
    <w:p w:rsidR="003D5DCA" w:rsidRDefault="003D5DCA" w:rsidP="00573F08"/>
    <w:p w:rsidR="003D5DCA" w:rsidRDefault="003D5DCA" w:rsidP="00573F08"/>
    <w:p w:rsidR="003D5DCA" w:rsidRDefault="003D5DCA" w:rsidP="00573F08"/>
    <w:p w:rsidR="003D5DCA" w:rsidRPr="003D5DCA" w:rsidRDefault="003D5DCA" w:rsidP="00573F08">
      <w:pPr>
        <w:rPr>
          <w:b/>
        </w:rPr>
      </w:pPr>
      <w:r w:rsidRPr="003D5DCA">
        <w:rPr>
          <w:b/>
          <w:noProof/>
          <w:lang w:eastAsia="en-GB"/>
        </w:rPr>
        <w:drawing>
          <wp:anchor distT="0" distB="0" distL="114300" distR="114300" simplePos="0" relativeHeight="251662336" behindDoc="0" locked="0" layoutInCell="1" allowOverlap="1" wp14:anchorId="6FFA7D03" wp14:editId="779AD10D">
            <wp:simplePos x="0" y="0"/>
            <wp:positionH relativeFrom="column">
              <wp:posOffset>4457700</wp:posOffset>
            </wp:positionH>
            <wp:positionV relativeFrom="paragraph">
              <wp:posOffset>50800</wp:posOffset>
            </wp:positionV>
            <wp:extent cx="1784985" cy="17907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784985" cy="1790700"/>
                    </a:xfrm>
                    <a:prstGeom prst="rect">
                      <a:avLst/>
                    </a:prstGeom>
                  </pic:spPr>
                </pic:pic>
              </a:graphicData>
            </a:graphic>
            <wp14:sizeRelH relativeFrom="page">
              <wp14:pctWidth>0</wp14:pctWidth>
            </wp14:sizeRelH>
            <wp14:sizeRelV relativeFrom="page">
              <wp14:pctHeight>0</wp14:pctHeight>
            </wp14:sizeRelV>
          </wp:anchor>
        </w:drawing>
      </w:r>
      <w:r w:rsidRPr="003D5DCA">
        <w:rPr>
          <w:b/>
        </w:rPr>
        <w:t>Appendix A</w:t>
      </w:r>
    </w:p>
    <w:p w:rsidR="003D5DCA" w:rsidRDefault="003D5DCA" w:rsidP="003D5DCA">
      <w:pPr>
        <w:rPr>
          <w:b/>
        </w:rPr>
      </w:pPr>
    </w:p>
    <w:p w:rsidR="003D5DCA" w:rsidRDefault="003D5DCA" w:rsidP="003D5DCA">
      <w:pPr>
        <w:rPr>
          <w:b/>
        </w:rPr>
      </w:pPr>
    </w:p>
    <w:p w:rsidR="003D5DCA" w:rsidRPr="003D5DCA" w:rsidRDefault="003D5DCA" w:rsidP="003D5DCA">
      <w:pPr>
        <w:rPr>
          <w:b/>
          <w:sz w:val="40"/>
          <w:szCs w:val="40"/>
        </w:rPr>
      </w:pPr>
      <w:r w:rsidRPr="003D5DCA">
        <w:rPr>
          <w:b/>
          <w:sz w:val="40"/>
          <w:szCs w:val="40"/>
        </w:rPr>
        <w:t>Red Hall Primary School</w:t>
      </w:r>
    </w:p>
    <w:p w:rsidR="003D5DCA" w:rsidRPr="003D5DCA" w:rsidRDefault="003D5DCA" w:rsidP="003D5DCA">
      <w:pPr>
        <w:rPr>
          <w:b/>
          <w:sz w:val="40"/>
          <w:szCs w:val="40"/>
        </w:rPr>
      </w:pPr>
      <w:r w:rsidRPr="003D5DCA">
        <w:rPr>
          <w:b/>
          <w:sz w:val="40"/>
          <w:szCs w:val="40"/>
        </w:rPr>
        <w:t>SEND Information Report</w:t>
      </w:r>
    </w:p>
    <w:p w:rsidR="003D5DCA" w:rsidRPr="003D5DCA" w:rsidRDefault="003D5DCA" w:rsidP="003D5DCA">
      <w:pPr>
        <w:rPr>
          <w:b/>
        </w:rPr>
      </w:pPr>
      <w:r w:rsidRPr="003D5DCA">
        <w:rPr>
          <w:b/>
        </w:rPr>
        <w:t>(Special Educational Needs and Disability (SEND) Information Report)</w:t>
      </w:r>
    </w:p>
    <w:p w:rsidR="003D5DCA" w:rsidRPr="003D5DCA" w:rsidRDefault="003D5DCA" w:rsidP="003D5DCA">
      <w:pPr>
        <w:rPr>
          <w:b/>
        </w:rPr>
      </w:pPr>
      <w:r w:rsidRPr="003D5DCA">
        <w:rPr>
          <w:b/>
        </w:rPr>
        <w:t>February 2016</w:t>
      </w:r>
    </w:p>
    <w:p w:rsidR="003D5DCA" w:rsidRPr="003D5DCA" w:rsidRDefault="003D5DCA" w:rsidP="003D5DCA">
      <w:pPr>
        <w:rPr>
          <w:i/>
        </w:rPr>
      </w:pPr>
      <w:r w:rsidRPr="003D5DCA">
        <w:rPr>
          <w:b/>
        </w:rPr>
        <w:t xml:space="preserve">If your child has special educational needs and/or a disability and you would like to know more about what we offer please contact us; </w:t>
      </w:r>
    </w:p>
    <w:p w:rsidR="003D5DCA" w:rsidRPr="003D5DCA" w:rsidRDefault="003D5DCA" w:rsidP="003D5DCA">
      <w:pPr>
        <w:rPr>
          <w:i/>
        </w:rPr>
      </w:pPr>
      <w:r w:rsidRPr="003D5DCA">
        <w:rPr>
          <w:b/>
          <w:i/>
        </w:rPr>
        <w:t>SENCO:</w:t>
      </w:r>
      <w:r w:rsidRPr="003D5DCA">
        <w:rPr>
          <w:i/>
        </w:rPr>
        <w:t xml:space="preserve"> </w:t>
      </w:r>
      <w:r w:rsidRPr="003D5DCA">
        <w:rPr>
          <w:i/>
        </w:rPr>
        <w:tab/>
      </w:r>
      <w:r w:rsidRPr="003D5DCA">
        <w:rPr>
          <w:i/>
        </w:rPr>
        <w:tab/>
        <w:t xml:space="preserve"> Julie Davidson</w:t>
      </w:r>
    </w:p>
    <w:p w:rsidR="003D5DCA" w:rsidRPr="003D5DCA" w:rsidRDefault="003D5DCA" w:rsidP="003D5DCA">
      <w:pPr>
        <w:rPr>
          <w:i/>
        </w:rPr>
      </w:pPr>
      <w:r w:rsidRPr="003D5DCA">
        <w:rPr>
          <w:b/>
          <w:i/>
        </w:rPr>
        <w:t>Shadow SENDCO:</w:t>
      </w:r>
      <w:r w:rsidRPr="003D5DCA">
        <w:rPr>
          <w:i/>
        </w:rPr>
        <w:tab/>
        <w:t>Stacy Luxon</w:t>
      </w:r>
    </w:p>
    <w:p w:rsidR="003D5DCA" w:rsidRPr="003D5DCA" w:rsidRDefault="003D5DCA" w:rsidP="003D5DCA">
      <w:pPr>
        <w:rPr>
          <w:i/>
        </w:rPr>
      </w:pPr>
      <w:r w:rsidRPr="003D5DCA">
        <w:rPr>
          <w:b/>
          <w:i/>
        </w:rPr>
        <w:t>SENDCO Assistant:</w:t>
      </w:r>
      <w:r w:rsidRPr="003D5DCA">
        <w:rPr>
          <w:i/>
        </w:rPr>
        <w:t xml:space="preserve">    </w:t>
      </w:r>
      <w:r w:rsidRPr="003D5DCA">
        <w:rPr>
          <w:i/>
        </w:rPr>
        <w:tab/>
        <w:t>Debbie Hayman</w:t>
      </w:r>
      <w:r w:rsidRPr="003D5DCA">
        <w:rPr>
          <w:i/>
        </w:rPr>
        <w:tab/>
      </w:r>
      <w:r w:rsidRPr="003D5DCA">
        <w:rPr>
          <w:i/>
        </w:rPr>
        <w:tab/>
      </w:r>
      <w:r w:rsidRPr="003D5DCA">
        <w:rPr>
          <w:i/>
        </w:rPr>
        <w:tab/>
      </w:r>
      <w:r w:rsidRPr="003D5DCA">
        <w:rPr>
          <w:i/>
        </w:rPr>
        <w:tab/>
      </w:r>
      <w:r w:rsidRPr="003D5DCA">
        <w:rPr>
          <w:i/>
        </w:rPr>
        <w:tab/>
      </w:r>
    </w:p>
    <w:p w:rsidR="003D5DCA" w:rsidRPr="003D5DCA" w:rsidRDefault="003D5DCA" w:rsidP="003D5DCA">
      <w:pPr>
        <w:rPr>
          <w:i/>
        </w:rPr>
      </w:pPr>
      <w:r w:rsidRPr="003D5DCA">
        <w:rPr>
          <w:b/>
          <w:i/>
        </w:rPr>
        <w:t>SEND Governor:</w:t>
      </w:r>
      <w:r w:rsidRPr="003D5DCA">
        <w:rPr>
          <w:b/>
          <w:i/>
        </w:rPr>
        <w:tab/>
      </w:r>
      <w:r w:rsidR="00C027E2">
        <w:rPr>
          <w:b/>
          <w:i/>
        </w:rPr>
        <w:t>Emma Beale</w:t>
      </w:r>
    </w:p>
    <w:p w:rsidR="003D5DCA" w:rsidRPr="003D5DCA" w:rsidRDefault="003D5DCA" w:rsidP="003D5DCA">
      <w:pPr>
        <w:rPr>
          <w:i/>
        </w:rPr>
      </w:pPr>
      <w:r w:rsidRPr="003D5DCA">
        <w:rPr>
          <w:b/>
          <w:i/>
        </w:rPr>
        <w:t>Contact:</w:t>
      </w:r>
      <w:r w:rsidRPr="003D5DCA">
        <w:rPr>
          <w:i/>
        </w:rPr>
        <w:tab/>
      </w:r>
      <w:r w:rsidRPr="003D5DCA">
        <w:rPr>
          <w:i/>
        </w:rPr>
        <w:tab/>
        <w:t>01325 254770</w:t>
      </w:r>
    </w:p>
    <w:p w:rsidR="003D5DCA" w:rsidRPr="003D5DCA" w:rsidRDefault="003D5DCA" w:rsidP="003D5DCA">
      <w:pPr>
        <w:rPr>
          <w:b/>
          <w:i/>
        </w:rPr>
      </w:pPr>
      <w:r w:rsidRPr="003D5DCA">
        <w:rPr>
          <w:b/>
          <w:i/>
        </w:rPr>
        <w:t>Local Offer Contribution:</w:t>
      </w:r>
    </w:p>
    <w:p w:rsidR="003D5DCA" w:rsidRPr="003D5DCA" w:rsidRDefault="00C9697F" w:rsidP="003D5DCA">
      <w:pPr>
        <w:rPr>
          <w:b/>
          <w:i/>
        </w:rPr>
      </w:pPr>
      <w:hyperlink r:id="rId10" w:history="1">
        <w:r w:rsidR="003D5DCA" w:rsidRPr="003D5DCA">
          <w:rPr>
            <w:rStyle w:val="Hyperlink"/>
            <w:b/>
            <w:i/>
          </w:rPr>
          <w:t>http://darlington.fsd.org.uk</w:t>
        </w:r>
      </w:hyperlink>
    </w:p>
    <w:p w:rsidR="003D5DCA" w:rsidRPr="003D5DCA" w:rsidRDefault="003D5DCA" w:rsidP="003D5DCA">
      <w:pPr>
        <w:rPr>
          <w:b/>
        </w:rPr>
      </w:pPr>
      <w:r w:rsidRPr="003D5DCA">
        <w:rPr>
          <w:b/>
        </w:rPr>
        <w:t>Whole School Approach:</w:t>
      </w:r>
    </w:p>
    <w:p w:rsidR="003D5DCA" w:rsidRPr="003D5DCA" w:rsidRDefault="003D5DCA" w:rsidP="003D5DCA">
      <w:r w:rsidRPr="003D5DCA">
        <w:t>At Red Hall Primary School, we believe that every pupil has the right to equal access to a broad and balanced curriculum.  We consider it essential that the curriculum is presented in a supportive and stimulating environment which values each child and encourages them to achieve their full potential.</w:t>
      </w:r>
    </w:p>
    <w:p w:rsidR="003D5DCA" w:rsidRPr="003D5DCA" w:rsidRDefault="003D5DCA" w:rsidP="003D5DCA">
      <w:r w:rsidRPr="003D5DCA">
        <w:t xml:space="preserve"> </w:t>
      </w:r>
    </w:p>
    <w:p w:rsidR="003D5DCA" w:rsidRPr="003D5DCA" w:rsidRDefault="003D5DCA" w:rsidP="003D5DCA">
      <w:r w:rsidRPr="003D5DCA">
        <w:t>We offer EVERY child or young person in our care, high quality first teaching and additional differentiated and personalised approaches to teaching and learning or interventions where required.</w:t>
      </w:r>
    </w:p>
    <w:p w:rsidR="003D5DCA" w:rsidRDefault="003D5DCA" w:rsidP="003D5DCA"/>
    <w:p w:rsidR="003D5DCA" w:rsidRPr="003D5DCA" w:rsidRDefault="003D5DCA" w:rsidP="003D5DCA"/>
    <w:p w:rsidR="00F846D7" w:rsidRDefault="00F846D7" w:rsidP="003D5DCA"/>
    <w:p w:rsidR="00F846D7" w:rsidRDefault="00F846D7" w:rsidP="003D5DCA"/>
    <w:p w:rsidR="003D5DCA" w:rsidRPr="003D5DCA" w:rsidRDefault="003D5DCA" w:rsidP="003D5DCA">
      <w:r w:rsidRPr="003D5DCA">
        <w:t xml:space="preserve">Underpinning ALL our provision in school is the </w:t>
      </w:r>
      <w:r w:rsidRPr="003D5DCA">
        <w:rPr>
          <w:b/>
        </w:rPr>
        <w:t>graduated approach</w:t>
      </w:r>
      <w:r w:rsidRPr="003D5DCA">
        <w:t xml:space="preserve"> cycle of: </w:t>
      </w:r>
    </w:p>
    <w:p w:rsidR="003D5DCA" w:rsidRPr="003D5DCA" w:rsidRDefault="003D5DCA" w:rsidP="003D5DCA"/>
    <w:p w:rsidR="003D5DCA" w:rsidRPr="003D5DCA" w:rsidRDefault="003D5DCA" w:rsidP="003D5DCA"/>
    <w:p w:rsidR="003D5DCA" w:rsidRPr="003D5DCA" w:rsidRDefault="003D5DCA" w:rsidP="003D5DCA">
      <w:r w:rsidRPr="003D5DCA">
        <w:rPr>
          <w:noProof/>
          <w:lang w:eastAsia="en-GB"/>
        </w:rPr>
        <w:drawing>
          <wp:inline distT="0" distB="0" distL="0" distR="0" wp14:anchorId="0D1F97B9" wp14:editId="100C5612">
            <wp:extent cx="5467350" cy="15049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D5DCA" w:rsidRPr="003D5DCA" w:rsidRDefault="003D5DCA" w:rsidP="003D5DCA">
      <w:pPr>
        <w:rPr>
          <w:b/>
        </w:rPr>
      </w:pPr>
      <w:r w:rsidRPr="003D5DCA">
        <w:rPr>
          <w:b/>
        </w:rPr>
        <w:t>Assess</w:t>
      </w:r>
    </w:p>
    <w:p w:rsidR="003D5DCA" w:rsidRPr="003D5DCA" w:rsidRDefault="003D5DCA" w:rsidP="003D5DCA">
      <w:r w:rsidRPr="003D5DCA">
        <w:t>Throughout the Early Years, Key Stage 1 and Key Stage 2 the children are assessed against nationally set criteria to check their progress across all areas of learning.  It is through this process that children who are not making expected progress are highlighted.  Teachers and support staff play a vital role in raising concerns about other barriers to learning, such as behavioural, social and emotional matters.  School also takes seriously any concerns raised by parents.  These concerns are recorded and compared to the setting’s own assessment and information about how a pupil is developing.</w:t>
      </w:r>
    </w:p>
    <w:p w:rsidR="003D5DCA" w:rsidRPr="003D5DCA" w:rsidRDefault="003D5DCA" w:rsidP="003D5DCA">
      <w:r w:rsidRPr="003D5DCA">
        <w:t>Assessments are reviewed regularly.  This helps to ensure that support and interventions are matched to need, barriers to learning are identified and overcome.</w:t>
      </w:r>
    </w:p>
    <w:p w:rsidR="003D5DCA" w:rsidRPr="003D5DCA" w:rsidRDefault="003D5DCA" w:rsidP="003D5DCA"/>
    <w:p w:rsidR="003D5DCA" w:rsidRPr="003D5DCA" w:rsidRDefault="003D5DCA" w:rsidP="003D5DCA">
      <w:pPr>
        <w:rPr>
          <w:b/>
        </w:rPr>
      </w:pPr>
      <w:r w:rsidRPr="003D5DCA">
        <w:rPr>
          <w:b/>
        </w:rPr>
        <w:t>Review</w:t>
      </w:r>
    </w:p>
    <w:p w:rsidR="003D5DCA" w:rsidRPr="003D5DCA" w:rsidRDefault="003D5DCA" w:rsidP="003D5DCA">
      <w:r w:rsidRPr="003D5DCA">
        <w:t>The effectiveness of the support and interventions and their impact on the pupil’s progress is reviewed in line with the agreed dates.</w:t>
      </w:r>
    </w:p>
    <w:p w:rsidR="003D5DCA" w:rsidRPr="003D5DCA" w:rsidRDefault="003D5DCA" w:rsidP="003D5DCA">
      <w:r w:rsidRPr="003D5DCA">
        <w:t>The impact and quality of the support and interventions are evaluated, along with the views of the pupil and their parents and any specialist support services involved.  The class teacher, with the support from the SENDCO, revises the support in light of the pupil’s progress and development.</w:t>
      </w:r>
    </w:p>
    <w:p w:rsidR="003D5DCA" w:rsidRPr="003D5DCA" w:rsidRDefault="003D5DCA" w:rsidP="003D5DCA">
      <w:r w:rsidRPr="003D5DCA">
        <w:t xml:space="preserve">Parents are given clear information about the impact of their support and interventions provided, enabling them to be involved in planning next steps.  </w:t>
      </w:r>
    </w:p>
    <w:p w:rsidR="003D5DCA" w:rsidRPr="003D5DCA" w:rsidRDefault="003D5DCA" w:rsidP="003D5DCA">
      <w:r w:rsidRPr="003D5DCA">
        <w:t>Where a pupil has an EHC plan, the local authority must review that plan as a minimum every 12 months.</w:t>
      </w:r>
    </w:p>
    <w:p w:rsidR="003D5DCA" w:rsidRPr="003D5DCA" w:rsidRDefault="003D5DCA" w:rsidP="003D5DCA">
      <w:r w:rsidRPr="003D5DCA">
        <w:t>All teachers are responsible for every child in their care, including those with special educational needs. (</w:t>
      </w:r>
      <w:r w:rsidRPr="003D5DCA">
        <w:rPr>
          <w:b/>
        </w:rPr>
        <w:t>Reference:</w:t>
      </w:r>
      <w:r w:rsidRPr="003D5DCA">
        <w:t xml:space="preserve"> Teaching &amp; Learning Policy)</w:t>
      </w:r>
    </w:p>
    <w:p w:rsidR="003D5DCA" w:rsidRDefault="003D5DCA" w:rsidP="003D5DCA">
      <w:pPr>
        <w:rPr>
          <w:b/>
        </w:rPr>
      </w:pPr>
    </w:p>
    <w:p w:rsidR="007F11E6" w:rsidRPr="003D5DCA" w:rsidRDefault="007F11E6" w:rsidP="003D5DCA">
      <w:pPr>
        <w:rPr>
          <w:b/>
        </w:rPr>
      </w:pPr>
    </w:p>
    <w:p w:rsidR="003D5DCA" w:rsidRDefault="003D5DCA" w:rsidP="003D5DCA">
      <w:pPr>
        <w:rPr>
          <w:b/>
        </w:rPr>
      </w:pPr>
    </w:p>
    <w:p w:rsidR="007C7C29" w:rsidRDefault="007C7C29" w:rsidP="003D5DCA">
      <w:pPr>
        <w:rPr>
          <w:b/>
        </w:rPr>
      </w:pPr>
    </w:p>
    <w:p w:rsidR="007C7C29" w:rsidRDefault="007C7C29" w:rsidP="003D5DCA">
      <w:pPr>
        <w:rPr>
          <w:b/>
        </w:rPr>
      </w:pPr>
    </w:p>
    <w:p w:rsidR="003D5DCA" w:rsidRPr="003D5DCA" w:rsidRDefault="003D5DCA" w:rsidP="003D5DCA">
      <w:pPr>
        <w:rPr>
          <w:b/>
        </w:rPr>
      </w:pPr>
      <w:r w:rsidRPr="003D5DCA">
        <w:rPr>
          <w:b/>
        </w:rPr>
        <w:t>What kinds of special needs are provided for at Red Hall Primary School?</w:t>
      </w:r>
    </w:p>
    <w:p w:rsidR="003D5DCA" w:rsidRPr="003D5DCA" w:rsidRDefault="003D5DCA" w:rsidP="003D5DCA">
      <w:r w:rsidRPr="003D5DCA">
        <w:t>At Red Hall Primary School, we provide for children of varying needs. This is approached through a number of strategies depending on the children’s needs and supported by a range of specialist services and expertise.</w:t>
      </w:r>
    </w:p>
    <w:p w:rsidR="003D5DCA" w:rsidRPr="003D5DCA" w:rsidRDefault="003D5DCA" w:rsidP="003D5DCA">
      <w:r w:rsidRPr="003D5DCA">
        <w:t>Children and young people’s SEN are generally thought of in the following four broad areas of need and</w:t>
      </w:r>
      <w:r>
        <w:t xml:space="preserve"> support</w:t>
      </w:r>
    </w:p>
    <w:p w:rsidR="003D5DCA" w:rsidRPr="003D5DCA" w:rsidRDefault="003D5DCA" w:rsidP="003D5DCA"/>
    <w:p w:rsidR="003D5DCA" w:rsidRPr="003D5DCA" w:rsidRDefault="003D5DCA" w:rsidP="00F82070">
      <w:pPr>
        <w:numPr>
          <w:ilvl w:val="0"/>
          <w:numId w:val="6"/>
        </w:numPr>
        <w:rPr>
          <w:b/>
        </w:rPr>
      </w:pPr>
      <w:r w:rsidRPr="003D5DCA">
        <w:rPr>
          <w:b/>
        </w:rPr>
        <w:t xml:space="preserve">Communication and interaction </w:t>
      </w:r>
    </w:p>
    <w:p w:rsidR="003D5DCA" w:rsidRPr="003D5DCA" w:rsidRDefault="003D5DCA" w:rsidP="003D5DCA">
      <w:pPr>
        <w:rPr>
          <w:i/>
        </w:rPr>
      </w:pPr>
      <w:r w:rsidRPr="003D5DCA">
        <w:rPr>
          <w:i/>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Children and young people with an Autism Spectrum Disorder, including Asperger’s Syndrome and Autism, are likely to have particular difficulties with social interaction. They may also experience difficulties with language, communication, social interaction and imagination, which can impact on how they relate to others</w:t>
      </w:r>
    </w:p>
    <w:p w:rsidR="003D5DCA" w:rsidRPr="007C7C29" w:rsidRDefault="003D5DCA" w:rsidP="007C7C29">
      <w:pPr>
        <w:rPr>
          <w:b/>
          <w:i/>
          <w:u w:val="single"/>
        </w:rPr>
      </w:pPr>
      <w:r w:rsidRPr="003D5DCA">
        <w:rPr>
          <w:b/>
          <w:i/>
          <w:u w:val="single"/>
        </w:rPr>
        <w:t>Details of our provision</w:t>
      </w:r>
    </w:p>
    <w:p w:rsidR="003D5DCA" w:rsidRDefault="003D5DCA" w:rsidP="00F82070">
      <w:pPr>
        <w:numPr>
          <w:ilvl w:val="0"/>
          <w:numId w:val="7"/>
        </w:numPr>
      </w:pPr>
      <w:r w:rsidRPr="003D5DCA">
        <w:t>Makaton</w:t>
      </w:r>
      <w:r w:rsidR="007C7C29">
        <w:t xml:space="preserve"> and Makaton trained staff</w:t>
      </w:r>
    </w:p>
    <w:p w:rsidR="007C7C29" w:rsidRPr="003D5DCA" w:rsidRDefault="007C7C29" w:rsidP="00F82070">
      <w:pPr>
        <w:numPr>
          <w:ilvl w:val="0"/>
          <w:numId w:val="7"/>
        </w:numPr>
      </w:pPr>
      <w:r>
        <w:t>Makaton training sessions for Parents</w:t>
      </w: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7"/>
        </w:numPr>
        <w:rPr>
          <w:i/>
        </w:rPr>
      </w:pPr>
      <w:r w:rsidRPr="003D5DCA">
        <w:rPr>
          <w:i/>
        </w:rPr>
        <w:t>Access to Speech and Language Therapists.</w:t>
      </w:r>
    </w:p>
    <w:p w:rsidR="003D5DCA" w:rsidRPr="003D5DCA" w:rsidRDefault="003D5DCA" w:rsidP="00F82070">
      <w:pPr>
        <w:numPr>
          <w:ilvl w:val="0"/>
          <w:numId w:val="7"/>
        </w:numPr>
        <w:rPr>
          <w:i/>
        </w:rPr>
      </w:pPr>
      <w:r w:rsidRPr="003D5DCA">
        <w:rPr>
          <w:i/>
        </w:rPr>
        <w:t>Outreach support from Northwood Speech and Language Specialist Staff (Mandy Raw).</w:t>
      </w:r>
    </w:p>
    <w:p w:rsidR="003D5DCA" w:rsidRPr="003D5DCA" w:rsidRDefault="003D5DCA" w:rsidP="00F82070">
      <w:pPr>
        <w:numPr>
          <w:ilvl w:val="0"/>
          <w:numId w:val="7"/>
        </w:numPr>
        <w:rPr>
          <w:i/>
        </w:rPr>
      </w:pPr>
      <w:r w:rsidRPr="003D5DCA">
        <w:rPr>
          <w:i/>
        </w:rPr>
        <w:t>Educationa</w:t>
      </w:r>
      <w:r w:rsidR="007C7C29">
        <w:rPr>
          <w:i/>
        </w:rPr>
        <w:t>l Psychologist (</w:t>
      </w:r>
      <w:r w:rsidRPr="003D5DCA">
        <w:rPr>
          <w:i/>
        </w:rPr>
        <w:t>Dr Sarah Tighe</w:t>
      </w:r>
      <w:r w:rsidR="007C7C29">
        <w:rPr>
          <w:i/>
        </w:rPr>
        <w:t xml:space="preserve"> and Melissa Whitby</w:t>
      </w:r>
      <w:r w:rsidRPr="003D5DCA">
        <w:rPr>
          <w:i/>
        </w:rPr>
        <w:t>).</w:t>
      </w:r>
    </w:p>
    <w:p w:rsidR="003D5DCA" w:rsidRPr="003D5DCA" w:rsidRDefault="003D5DCA" w:rsidP="00F82070">
      <w:pPr>
        <w:numPr>
          <w:ilvl w:val="0"/>
          <w:numId w:val="7"/>
        </w:numPr>
        <w:rPr>
          <w:i/>
        </w:rPr>
      </w:pPr>
      <w:r w:rsidRPr="003D5DCA">
        <w:rPr>
          <w:i/>
        </w:rPr>
        <w:t>Early Years Team (Joy Burgess)</w:t>
      </w:r>
    </w:p>
    <w:p w:rsidR="003D5DCA" w:rsidRDefault="003D5DCA" w:rsidP="00F82070">
      <w:pPr>
        <w:numPr>
          <w:ilvl w:val="0"/>
          <w:numId w:val="7"/>
        </w:numPr>
        <w:rPr>
          <w:i/>
        </w:rPr>
      </w:pPr>
      <w:r w:rsidRPr="003D5DCA">
        <w:rPr>
          <w:i/>
        </w:rPr>
        <w:t>Communication Outreach Service</w:t>
      </w:r>
    </w:p>
    <w:p w:rsidR="007C7C29" w:rsidRPr="003D5DCA" w:rsidRDefault="007C7C29" w:rsidP="00F82070">
      <w:pPr>
        <w:numPr>
          <w:ilvl w:val="0"/>
          <w:numId w:val="7"/>
        </w:numPr>
        <w:rPr>
          <w:i/>
        </w:rPr>
      </w:pPr>
      <w:r>
        <w:rPr>
          <w:i/>
        </w:rPr>
        <w:t>LIN Service</w:t>
      </w:r>
    </w:p>
    <w:p w:rsidR="003D5DCA" w:rsidRPr="003D5DCA" w:rsidRDefault="003D5DCA" w:rsidP="00F82070">
      <w:pPr>
        <w:numPr>
          <w:ilvl w:val="0"/>
          <w:numId w:val="6"/>
        </w:numPr>
        <w:rPr>
          <w:b/>
        </w:rPr>
      </w:pPr>
      <w:r w:rsidRPr="003D5DCA">
        <w:rPr>
          <w:b/>
        </w:rPr>
        <w:t xml:space="preserve">Cognition and learning </w:t>
      </w:r>
    </w:p>
    <w:p w:rsidR="003D5DCA" w:rsidRPr="003D5DCA" w:rsidRDefault="003D5DCA" w:rsidP="003D5DCA">
      <w:pPr>
        <w:rPr>
          <w:i/>
        </w:rPr>
      </w:pPr>
      <w:r w:rsidRPr="003D5DCA">
        <w:rPr>
          <w:i/>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(SpLD), affect one or more specific aspects of learning. This encompasses a range of conditions such as dyslexia, dyscalculia and dyspraxia</w:t>
      </w:r>
    </w:p>
    <w:p w:rsidR="003D5DCA" w:rsidRDefault="003D5DCA" w:rsidP="003D5DCA">
      <w:pPr>
        <w:rPr>
          <w:b/>
          <w:i/>
          <w:u w:val="single"/>
        </w:rPr>
      </w:pPr>
    </w:p>
    <w:p w:rsidR="003D5DCA" w:rsidRPr="003D5DCA" w:rsidRDefault="003D5DCA" w:rsidP="003D5DCA">
      <w:pPr>
        <w:rPr>
          <w:b/>
          <w:i/>
          <w:u w:val="single"/>
        </w:rPr>
      </w:pPr>
      <w:r w:rsidRPr="003D5DCA">
        <w:rPr>
          <w:b/>
          <w:i/>
          <w:u w:val="single"/>
        </w:rPr>
        <w:t>Details of our provision</w:t>
      </w:r>
    </w:p>
    <w:p w:rsidR="003D5DCA" w:rsidRDefault="003D5DCA" w:rsidP="00F82070">
      <w:pPr>
        <w:numPr>
          <w:ilvl w:val="0"/>
          <w:numId w:val="12"/>
        </w:numPr>
        <w:rPr>
          <w:i/>
        </w:rPr>
      </w:pPr>
      <w:r w:rsidRPr="003D5DCA">
        <w:rPr>
          <w:i/>
        </w:rPr>
        <w:t>Key Stage 2 Learning Hub Class – Little Leaps</w:t>
      </w:r>
    </w:p>
    <w:p w:rsidR="007C7C29" w:rsidRDefault="007C7C29" w:rsidP="007C7C29">
      <w:pPr>
        <w:numPr>
          <w:ilvl w:val="0"/>
          <w:numId w:val="12"/>
        </w:numPr>
        <w:rPr>
          <w:i/>
        </w:rPr>
      </w:pPr>
      <w:r>
        <w:rPr>
          <w:i/>
        </w:rPr>
        <w:t>Targeted personal support through intervention groups</w:t>
      </w:r>
    </w:p>
    <w:p w:rsidR="007C7C29" w:rsidRPr="003D5DCA" w:rsidRDefault="007C7C29" w:rsidP="007C7C29">
      <w:pPr>
        <w:numPr>
          <w:ilvl w:val="0"/>
          <w:numId w:val="12"/>
        </w:numPr>
        <w:rPr>
          <w:i/>
        </w:rPr>
      </w:pPr>
      <w:r>
        <w:rPr>
          <w:i/>
        </w:rPr>
        <w:t>Resourcing; individual work stations, coloured overlays, IWB backgrounds, Visual timetables</w:t>
      </w: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8"/>
        </w:numPr>
        <w:rPr>
          <w:i/>
        </w:rPr>
      </w:pPr>
      <w:r w:rsidRPr="003D5DCA">
        <w:rPr>
          <w:i/>
        </w:rPr>
        <w:t>Educational Psy</w:t>
      </w:r>
      <w:r w:rsidR="007C7C29">
        <w:rPr>
          <w:i/>
        </w:rPr>
        <w:t>chologist (</w:t>
      </w:r>
      <w:r w:rsidRPr="003D5DCA">
        <w:rPr>
          <w:i/>
        </w:rPr>
        <w:t>Dr Sarah Tighe</w:t>
      </w:r>
      <w:r w:rsidR="007C7C29">
        <w:rPr>
          <w:i/>
        </w:rPr>
        <w:t xml:space="preserve"> and Melissa Whitby</w:t>
      </w:r>
      <w:r w:rsidRPr="003D5DCA">
        <w:rPr>
          <w:i/>
        </w:rPr>
        <w:t>)</w:t>
      </w:r>
    </w:p>
    <w:p w:rsidR="003D5DCA" w:rsidRPr="003D5DCA" w:rsidRDefault="003D5DCA" w:rsidP="00F82070">
      <w:pPr>
        <w:numPr>
          <w:ilvl w:val="0"/>
          <w:numId w:val="8"/>
        </w:numPr>
        <w:rPr>
          <w:i/>
        </w:rPr>
      </w:pPr>
      <w:r w:rsidRPr="003D5DCA">
        <w:rPr>
          <w:i/>
        </w:rPr>
        <w:t>Early Years Team (Joy Burgess)</w:t>
      </w:r>
    </w:p>
    <w:p w:rsidR="003D5DCA" w:rsidRPr="003D5DCA" w:rsidRDefault="003D5DCA" w:rsidP="003D5DCA">
      <w:pPr>
        <w:rPr>
          <w:i/>
        </w:rPr>
      </w:pPr>
    </w:p>
    <w:p w:rsidR="003D5DCA" w:rsidRPr="003D5DCA" w:rsidRDefault="003D5DCA" w:rsidP="003D5DCA">
      <w:pPr>
        <w:rPr>
          <w:i/>
        </w:rPr>
      </w:pPr>
    </w:p>
    <w:p w:rsidR="003D5DCA" w:rsidRPr="003D5DCA" w:rsidRDefault="003D5DCA" w:rsidP="00F82070">
      <w:pPr>
        <w:numPr>
          <w:ilvl w:val="0"/>
          <w:numId w:val="6"/>
        </w:numPr>
        <w:rPr>
          <w:b/>
        </w:rPr>
      </w:pPr>
      <w:r w:rsidRPr="003D5DCA">
        <w:rPr>
          <w:b/>
        </w:rPr>
        <w:t xml:space="preserve">Social, emotional and mental health </w:t>
      </w:r>
    </w:p>
    <w:p w:rsidR="003D5DCA" w:rsidRPr="003D5DCA" w:rsidRDefault="003D5DCA" w:rsidP="003D5DCA">
      <w:pPr>
        <w:rPr>
          <w:i/>
        </w:rPr>
      </w:pPr>
      <w:r w:rsidRPr="003D5DCA">
        <w:rPr>
          <w:i/>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eating disorders or physical symptoms that are medically unexplained. Other children and young people may have disorders such as attention deficit disorder, attention deficit hyperactive disorder or attachment disorder.</w:t>
      </w:r>
    </w:p>
    <w:p w:rsidR="003D5DCA" w:rsidRPr="003D5DCA" w:rsidRDefault="003D5DCA" w:rsidP="003D5DCA">
      <w:pPr>
        <w:rPr>
          <w:b/>
          <w:i/>
          <w:u w:val="single"/>
        </w:rPr>
      </w:pPr>
      <w:r w:rsidRPr="003D5DCA">
        <w:rPr>
          <w:b/>
          <w:i/>
          <w:u w:val="single"/>
        </w:rPr>
        <w:t>Details of our provision</w:t>
      </w:r>
    </w:p>
    <w:p w:rsidR="003D5DCA" w:rsidRPr="003D5DCA" w:rsidRDefault="003D5DCA" w:rsidP="00F82070">
      <w:pPr>
        <w:numPr>
          <w:ilvl w:val="0"/>
          <w:numId w:val="8"/>
        </w:numPr>
        <w:rPr>
          <w:i/>
        </w:rPr>
      </w:pPr>
      <w:r w:rsidRPr="003D5DCA">
        <w:rPr>
          <w:i/>
        </w:rPr>
        <w:t>Key Stage 2 Learning Hub Class – Little Leaps</w:t>
      </w:r>
    </w:p>
    <w:p w:rsidR="003D5DCA" w:rsidRPr="003D5DCA" w:rsidRDefault="003D5DCA" w:rsidP="00F82070">
      <w:pPr>
        <w:numPr>
          <w:ilvl w:val="0"/>
          <w:numId w:val="8"/>
        </w:numPr>
        <w:rPr>
          <w:i/>
        </w:rPr>
      </w:pPr>
      <w:r w:rsidRPr="003D5DCA">
        <w:rPr>
          <w:i/>
        </w:rPr>
        <w:t>Access to a School Counsellor</w:t>
      </w:r>
    </w:p>
    <w:p w:rsidR="003D5DCA" w:rsidRPr="003D5DCA" w:rsidRDefault="003D5DCA" w:rsidP="00F82070">
      <w:pPr>
        <w:numPr>
          <w:ilvl w:val="0"/>
          <w:numId w:val="8"/>
        </w:numPr>
        <w:rPr>
          <w:i/>
        </w:rPr>
      </w:pPr>
      <w:r w:rsidRPr="003D5DCA">
        <w:rPr>
          <w:i/>
        </w:rPr>
        <w:t>Learning Mentor Support</w:t>
      </w:r>
    </w:p>
    <w:p w:rsidR="003D5DCA" w:rsidRDefault="003D5DCA" w:rsidP="00F82070">
      <w:pPr>
        <w:numPr>
          <w:ilvl w:val="0"/>
          <w:numId w:val="8"/>
        </w:numPr>
        <w:rPr>
          <w:i/>
        </w:rPr>
      </w:pPr>
      <w:r w:rsidRPr="003D5DCA">
        <w:rPr>
          <w:i/>
        </w:rPr>
        <w:t>Family Support Worker (Yvonne Watson)</w:t>
      </w:r>
    </w:p>
    <w:p w:rsidR="007C7C29" w:rsidRDefault="007C7C29" w:rsidP="00F82070">
      <w:pPr>
        <w:numPr>
          <w:ilvl w:val="0"/>
          <w:numId w:val="8"/>
        </w:numPr>
        <w:rPr>
          <w:i/>
        </w:rPr>
      </w:pPr>
      <w:r>
        <w:rPr>
          <w:i/>
        </w:rPr>
        <w:t>Circle of Friends</w:t>
      </w:r>
    </w:p>
    <w:p w:rsidR="00E47F13" w:rsidRDefault="00E47F13" w:rsidP="00F82070">
      <w:pPr>
        <w:numPr>
          <w:ilvl w:val="0"/>
          <w:numId w:val="8"/>
        </w:numPr>
        <w:rPr>
          <w:i/>
        </w:rPr>
      </w:pPr>
      <w:r>
        <w:rPr>
          <w:i/>
        </w:rPr>
        <w:t>Tree of Life</w:t>
      </w:r>
    </w:p>
    <w:p w:rsidR="000B3B87" w:rsidRDefault="000B3B87" w:rsidP="00F82070">
      <w:pPr>
        <w:numPr>
          <w:ilvl w:val="0"/>
          <w:numId w:val="8"/>
        </w:numPr>
        <w:rPr>
          <w:i/>
        </w:rPr>
      </w:pPr>
      <w:r>
        <w:rPr>
          <w:i/>
        </w:rPr>
        <w:t>Mindfulness</w:t>
      </w:r>
    </w:p>
    <w:p w:rsidR="007C7C29" w:rsidRPr="003D5DCA" w:rsidRDefault="007C7C29" w:rsidP="00F82070">
      <w:pPr>
        <w:numPr>
          <w:ilvl w:val="0"/>
          <w:numId w:val="8"/>
        </w:numPr>
        <w:rPr>
          <w:i/>
        </w:rPr>
      </w:pPr>
      <w:r>
        <w:rPr>
          <w:i/>
        </w:rPr>
        <w:t>All staff Team Teach trained</w:t>
      </w:r>
    </w:p>
    <w:p w:rsidR="003D5DCA" w:rsidRPr="007C7C29" w:rsidRDefault="003D5DCA" w:rsidP="007C7C29">
      <w:pPr>
        <w:rPr>
          <w:b/>
          <w:i/>
          <w:u w:val="single"/>
        </w:rPr>
      </w:pPr>
      <w:r w:rsidRPr="003D5DCA">
        <w:rPr>
          <w:b/>
          <w:i/>
          <w:u w:val="single"/>
        </w:rPr>
        <w:t>Specialist Services and expertise</w:t>
      </w:r>
    </w:p>
    <w:p w:rsidR="003D5DCA" w:rsidRPr="003D5DCA" w:rsidRDefault="003D5DCA" w:rsidP="00F82070">
      <w:pPr>
        <w:numPr>
          <w:ilvl w:val="0"/>
          <w:numId w:val="9"/>
        </w:numPr>
        <w:rPr>
          <w:i/>
        </w:rPr>
      </w:pPr>
      <w:r w:rsidRPr="003D5DCA">
        <w:rPr>
          <w:i/>
        </w:rPr>
        <w:t>The Mulberry Centre, CAMHS (Children and Adolescent Mental Health Service).</w:t>
      </w:r>
    </w:p>
    <w:p w:rsidR="003D5DCA" w:rsidRPr="003D5DCA" w:rsidRDefault="003D5DCA" w:rsidP="00F82070">
      <w:pPr>
        <w:numPr>
          <w:ilvl w:val="0"/>
          <w:numId w:val="9"/>
        </w:numPr>
        <w:rPr>
          <w:i/>
        </w:rPr>
      </w:pPr>
      <w:r w:rsidRPr="003D5DCA">
        <w:rPr>
          <w:i/>
        </w:rPr>
        <w:t>FIT (Family Intervention) Team</w:t>
      </w:r>
    </w:p>
    <w:p w:rsidR="003D5DCA" w:rsidRPr="003D5DCA" w:rsidRDefault="003D5DCA" w:rsidP="00F82070">
      <w:pPr>
        <w:numPr>
          <w:ilvl w:val="0"/>
          <w:numId w:val="9"/>
        </w:numPr>
        <w:rPr>
          <w:i/>
        </w:rPr>
      </w:pPr>
      <w:r w:rsidRPr="003D5DCA">
        <w:rPr>
          <w:i/>
        </w:rPr>
        <w:t>Educational Psychologist (Dr James Weetman and Dr Sarah Tighe).</w:t>
      </w:r>
    </w:p>
    <w:p w:rsidR="003D5DCA" w:rsidRDefault="003D5DCA" w:rsidP="00F82070">
      <w:pPr>
        <w:numPr>
          <w:ilvl w:val="0"/>
          <w:numId w:val="9"/>
        </w:numPr>
        <w:rPr>
          <w:i/>
        </w:rPr>
      </w:pPr>
      <w:r w:rsidRPr="003D5DCA">
        <w:rPr>
          <w:i/>
        </w:rPr>
        <w:t>Early Years Team (Joy Burgess)</w:t>
      </w:r>
    </w:p>
    <w:p w:rsidR="007C7C29" w:rsidRPr="003D5DCA" w:rsidRDefault="007C7C29" w:rsidP="00F82070">
      <w:pPr>
        <w:numPr>
          <w:ilvl w:val="0"/>
          <w:numId w:val="9"/>
        </w:numPr>
        <w:rPr>
          <w:i/>
        </w:rPr>
      </w:pPr>
      <w:r>
        <w:rPr>
          <w:i/>
        </w:rPr>
        <w:t>Marchbank Free School Outreach</w:t>
      </w:r>
    </w:p>
    <w:p w:rsidR="003D5DCA" w:rsidRPr="00C027E2" w:rsidRDefault="003D5DCA" w:rsidP="003D5DCA">
      <w:pPr>
        <w:numPr>
          <w:ilvl w:val="0"/>
          <w:numId w:val="9"/>
        </w:numPr>
        <w:rPr>
          <w:i/>
        </w:rPr>
      </w:pPr>
      <w:r w:rsidRPr="003D5DCA">
        <w:rPr>
          <w:i/>
        </w:rPr>
        <w:t>PCSO</w:t>
      </w:r>
    </w:p>
    <w:p w:rsidR="003D5DCA" w:rsidRPr="003D5DCA" w:rsidRDefault="003D5DCA" w:rsidP="00F82070">
      <w:pPr>
        <w:numPr>
          <w:ilvl w:val="0"/>
          <w:numId w:val="6"/>
        </w:numPr>
        <w:rPr>
          <w:b/>
        </w:rPr>
      </w:pPr>
      <w:r w:rsidRPr="003D5DCA">
        <w:rPr>
          <w:b/>
        </w:rPr>
        <w:t xml:space="preserve">Sensory and/or physical needs </w:t>
      </w:r>
    </w:p>
    <w:p w:rsidR="003D5DCA" w:rsidRPr="00C027E2" w:rsidRDefault="003D5DCA" w:rsidP="003D5DCA">
      <w:pPr>
        <w:rPr>
          <w:i/>
        </w:rPr>
      </w:pPr>
      <w:r w:rsidRPr="003D5DCA">
        <w:rPr>
          <w:i/>
        </w:rPr>
        <w:t>Some children and young people require special educational provision because they have a disability which prevents or hinders them from making use of the educational facilities generally provided. Many children and young people with vision impairment (VI), hearing impairment (HI) or a multi-sensory impairment (MSI) will require specialist support and/or equipment to access their learning. Children and young people with an MSI have a combination of vision and hearing difficulties, which makes it even more difficult for them to access the curriculum or study programme than for those with a single sensory impairment. Some children and young people with a physical disability (PD) require additional ongoing support and equipment to access all the opportunities available to their peers.</w:t>
      </w:r>
    </w:p>
    <w:p w:rsidR="003D5DCA" w:rsidRPr="003D5DCA" w:rsidRDefault="003D5DCA" w:rsidP="003D5DCA">
      <w:pPr>
        <w:rPr>
          <w:b/>
          <w:i/>
          <w:u w:val="single"/>
        </w:rPr>
      </w:pPr>
      <w:r w:rsidRPr="003D5DCA">
        <w:rPr>
          <w:b/>
          <w:i/>
          <w:u w:val="single"/>
        </w:rPr>
        <w:t>Details of our provision:</w:t>
      </w:r>
    </w:p>
    <w:p w:rsidR="003D5DCA" w:rsidRPr="003D5DCA" w:rsidRDefault="003D5DCA" w:rsidP="00F82070">
      <w:pPr>
        <w:numPr>
          <w:ilvl w:val="0"/>
          <w:numId w:val="10"/>
        </w:numPr>
        <w:rPr>
          <w:i/>
        </w:rPr>
      </w:pPr>
      <w:r w:rsidRPr="003D5DCA">
        <w:rPr>
          <w:i/>
        </w:rPr>
        <w:t>Red Hall Primary School is fully wheelchair accessible.</w:t>
      </w:r>
    </w:p>
    <w:p w:rsidR="003D5DCA" w:rsidRDefault="003D5DCA" w:rsidP="00F82070">
      <w:pPr>
        <w:numPr>
          <w:ilvl w:val="0"/>
          <w:numId w:val="10"/>
        </w:numPr>
        <w:rPr>
          <w:i/>
        </w:rPr>
      </w:pPr>
      <w:r w:rsidRPr="003D5DCA">
        <w:rPr>
          <w:i/>
        </w:rPr>
        <w:t>First Aid and Medication team who assist with children’s care plans and risk assessments</w:t>
      </w:r>
    </w:p>
    <w:p w:rsidR="007C7C29" w:rsidRDefault="007C7C29" w:rsidP="00F82070">
      <w:pPr>
        <w:numPr>
          <w:ilvl w:val="0"/>
          <w:numId w:val="10"/>
        </w:numPr>
        <w:rPr>
          <w:i/>
        </w:rPr>
      </w:pPr>
      <w:r>
        <w:rPr>
          <w:i/>
        </w:rPr>
        <w:t>Sensory Areas</w:t>
      </w:r>
    </w:p>
    <w:p w:rsidR="007C7C29" w:rsidRDefault="007C7C29" w:rsidP="00F82070">
      <w:pPr>
        <w:numPr>
          <w:ilvl w:val="0"/>
          <w:numId w:val="10"/>
        </w:numPr>
        <w:rPr>
          <w:i/>
        </w:rPr>
      </w:pPr>
      <w:r>
        <w:rPr>
          <w:i/>
        </w:rPr>
        <w:t>Visual Timetables</w:t>
      </w:r>
    </w:p>
    <w:p w:rsidR="007C7C29" w:rsidRPr="003D5DCA" w:rsidRDefault="007C7C29" w:rsidP="00F82070">
      <w:pPr>
        <w:numPr>
          <w:ilvl w:val="0"/>
          <w:numId w:val="10"/>
        </w:numPr>
        <w:rPr>
          <w:i/>
        </w:rPr>
      </w:pPr>
      <w:r>
        <w:rPr>
          <w:i/>
        </w:rPr>
        <w:t>Staff trained in Moving and Handling</w:t>
      </w:r>
    </w:p>
    <w:p w:rsidR="003D5DCA" w:rsidRPr="003D5DCA" w:rsidRDefault="003D5DCA" w:rsidP="003D5DCA">
      <w:pPr>
        <w:rPr>
          <w:i/>
        </w:rPr>
      </w:pPr>
    </w:p>
    <w:p w:rsidR="003D5DCA" w:rsidRPr="003D5DCA" w:rsidRDefault="003D5DCA" w:rsidP="003D5DCA">
      <w:pPr>
        <w:rPr>
          <w:b/>
          <w:i/>
          <w:u w:val="single"/>
        </w:rPr>
      </w:pPr>
      <w:r w:rsidRPr="003D5DCA">
        <w:rPr>
          <w:b/>
          <w:i/>
          <w:u w:val="single"/>
        </w:rPr>
        <w:t>Specialist Services and expertise</w:t>
      </w:r>
    </w:p>
    <w:p w:rsidR="003D5DCA" w:rsidRPr="003D5DCA" w:rsidRDefault="003D5DCA" w:rsidP="00F82070">
      <w:pPr>
        <w:numPr>
          <w:ilvl w:val="0"/>
          <w:numId w:val="10"/>
        </w:numPr>
        <w:rPr>
          <w:i/>
        </w:rPr>
      </w:pPr>
      <w:r w:rsidRPr="003D5DCA">
        <w:rPr>
          <w:i/>
        </w:rPr>
        <w:t>Early Years Team (Joy Burgess)</w:t>
      </w:r>
    </w:p>
    <w:p w:rsidR="003D5DCA" w:rsidRPr="003D5DCA" w:rsidRDefault="003D5DCA" w:rsidP="00F82070">
      <w:pPr>
        <w:numPr>
          <w:ilvl w:val="0"/>
          <w:numId w:val="10"/>
        </w:numPr>
        <w:rPr>
          <w:i/>
        </w:rPr>
      </w:pPr>
      <w:r w:rsidRPr="003D5DCA">
        <w:rPr>
          <w:i/>
        </w:rPr>
        <w:t>Advisory teacher support for children with Hearing Impairment (Claire Holliman)</w:t>
      </w:r>
    </w:p>
    <w:p w:rsidR="003D5DCA" w:rsidRDefault="003D5DCA" w:rsidP="00F82070">
      <w:pPr>
        <w:numPr>
          <w:ilvl w:val="0"/>
          <w:numId w:val="10"/>
        </w:numPr>
        <w:rPr>
          <w:i/>
        </w:rPr>
      </w:pPr>
      <w:r w:rsidRPr="003D5DCA">
        <w:rPr>
          <w:i/>
        </w:rPr>
        <w:t>Occupational Health</w:t>
      </w:r>
    </w:p>
    <w:p w:rsidR="007C7C29" w:rsidRPr="003D5DCA" w:rsidRDefault="007C7C29" w:rsidP="00F82070">
      <w:pPr>
        <w:numPr>
          <w:ilvl w:val="0"/>
          <w:numId w:val="10"/>
        </w:numPr>
        <w:rPr>
          <w:i/>
        </w:rPr>
      </w:pPr>
      <w:r>
        <w:rPr>
          <w:i/>
        </w:rPr>
        <w:t>LIN Service</w:t>
      </w:r>
    </w:p>
    <w:p w:rsidR="00C027E2" w:rsidRDefault="003D5DCA" w:rsidP="003D5DCA">
      <w:r w:rsidRPr="003D5DCA">
        <w:t>(</w:t>
      </w:r>
      <w:r w:rsidRPr="003D5DCA">
        <w:rPr>
          <w:b/>
        </w:rPr>
        <w:t>Reference:</w:t>
      </w:r>
      <w:r w:rsidRPr="003D5DCA">
        <w:t xml:space="preserve"> SEN Policy</w:t>
      </w:r>
      <w:r w:rsidRPr="003D5DCA">
        <w:rPr>
          <w:i/>
        </w:rPr>
        <w:t xml:space="preserve"> February 2016</w:t>
      </w:r>
      <w:r w:rsidRPr="003D5DCA">
        <w:t>)</w:t>
      </w:r>
    </w:p>
    <w:p w:rsidR="003D5DCA" w:rsidRPr="00C027E2" w:rsidRDefault="003D5DCA" w:rsidP="003D5DCA">
      <w:r w:rsidRPr="003D5DCA">
        <w:rPr>
          <w:b/>
        </w:rPr>
        <w:t>What additional support is there at Red Hall Primary School?</w:t>
      </w:r>
    </w:p>
    <w:p w:rsidR="003D5DCA" w:rsidRPr="003D5DCA" w:rsidRDefault="003D5DCA" w:rsidP="003D5DCA">
      <w:pPr>
        <w:rPr>
          <w:b/>
        </w:rPr>
      </w:pPr>
      <w:r w:rsidRPr="003D5DCA">
        <w:rPr>
          <w:b/>
        </w:rPr>
        <w:t>Family Support Worker</w:t>
      </w:r>
    </w:p>
    <w:p w:rsidR="003D5DCA" w:rsidRPr="003D5DCA" w:rsidRDefault="003D5DCA" w:rsidP="003D5DCA">
      <w:r w:rsidRPr="003D5DCA">
        <w:t>Yvonne Watson is our Family Support Worker.  She is available for parents/carers and children to speak to if they need support.</w:t>
      </w:r>
    </w:p>
    <w:p w:rsidR="003D5DCA" w:rsidRPr="003D5DCA" w:rsidRDefault="003D5DCA" w:rsidP="003D5DCA">
      <w:pPr>
        <w:rPr>
          <w:b/>
        </w:rPr>
      </w:pPr>
      <w:r w:rsidRPr="003D5DCA">
        <w:rPr>
          <w:b/>
        </w:rPr>
        <w:t>School Counsellor</w:t>
      </w:r>
    </w:p>
    <w:p w:rsidR="003D5DCA" w:rsidRPr="003D5DCA" w:rsidRDefault="003D5DCA" w:rsidP="003D5DCA">
      <w:r w:rsidRPr="003D5DCA">
        <w:t>Lillian Moore is our school counsellor who works 1:1 with children one day a week.</w:t>
      </w:r>
    </w:p>
    <w:p w:rsidR="003D5DCA" w:rsidRPr="003D5DCA" w:rsidRDefault="003D5DCA" w:rsidP="003D5DCA">
      <w:pPr>
        <w:rPr>
          <w:b/>
        </w:rPr>
      </w:pPr>
      <w:r w:rsidRPr="003D5DCA">
        <w:rPr>
          <w:b/>
        </w:rPr>
        <w:t xml:space="preserve">Learning Mentor </w:t>
      </w:r>
    </w:p>
    <w:p w:rsidR="003D5DCA" w:rsidRPr="003D5DCA" w:rsidRDefault="003D5DCA" w:rsidP="003D5DCA">
      <w:r w:rsidRPr="003D5DCA">
        <w:t>Angela Maddison is our Learning Mentor and works with groups or individuals every afternoon.</w:t>
      </w:r>
    </w:p>
    <w:p w:rsidR="003D5DCA" w:rsidRPr="003D5DCA" w:rsidRDefault="003D5DCA" w:rsidP="003D5DCA">
      <w:pPr>
        <w:rPr>
          <w:b/>
        </w:rPr>
      </w:pPr>
    </w:p>
    <w:p w:rsidR="003D5DCA" w:rsidRPr="003D5DCA" w:rsidRDefault="003D5DCA" w:rsidP="003D5DCA">
      <w:pPr>
        <w:rPr>
          <w:b/>
        </w:rPr>
      </w:pPr>
      <w:r w:rsidRPr="003D5DCA">
        <w:rPr>
          <w:b/>
        </w:rPr>
        <w:t>Consulting with children, young people and their parents</w:t>
      </w:r>
    </w:p>
    <w:p w:rsidR="003D5DCA" w:rsidRPr="003D5DCA" w:rsidRDefault="003D5DCA" w:rsidP="003D5DCA">
      <w:r w:rsidRPr="003D5DCA">
        <w:t>Involving parents and learners in the dialogue is central to our approach and we do this through:</w:t>
      </w:r>
    </w:p>
    <w:p w:rsidR="003D5DCA" w:rsidRPr="003D5DCA" w:rsidRDefault="003D5DCA" w:rsidP="00F82070">
      <w:pPr>
        <w:numPr>
          <w:ilvl w:val="0"/>
          <w:numId w:val="11"/>
        </w:numPr>
      </w:pPr>
      <w:r w:rsidRPr="003D5DCA">
        <w:t>Parent and Pupil Consultation Meetings</w:t>
      </w:r>
    </w:p>
    <w:p w:rsidR="003D5DCA" w:rsidRPr="003D5DCA" w:rsidRDefault="003D5DCA" w:rsidP="00F82070">
      <w:pPr>
        <w:numPr>
          <w:ilvl w:val="0"/>
          <w:numId w:val="11"/>
        </w:numPr>
      </w:pPr>
      <w:r w:rsidRPr="003D5DCA">
        <w:t>Additional meetings as required</w:t>
      </w:r>
    </w:p>
    <w:p w:rsidR="003D5DCA" w:rsidRDefault="003D5DCA" w:rsidP="00F82070">
      <w:pPr>
        <w:numPr>
          <w:ilvl w:val="0"/>
          <w:numId w:val="11"/>
        </w:numPr>
      </w:pPr>
      <w:r w:rsidRPr="003D5DCA">
        <w:t>Reports</w:t>
      </w:r>
    </w:p>
    <w:p w:rsidR="007C7C29" w:rsidRPr="003D5DCA" w:rsidRDefault="007C7C29" w:rsidP="00F82070">
      <w:pPr>
        <w:numPr>
          <w:ilvl w:val="0"/>
          <w:numId w:val="11"/>
        </w:numPr>
      </w:pPr>
      <w:r>
        <w:t>Person Centred Reviews</w:t>
      </w:r>
    </w:p>
    <w:p w:rsidR="003D5DCA" w:rsidRPr="003D5DCA" w:rsidRDefault="003D5DCA" w:rsidP="003D5DCA">
      <w:pPr>
        <w:rPr>
          <w:b/>
        </w:rPr>
      </w:pPr>
    </w:p>
    <w:p w:rsidR="003D5DCA" w:rsidRPr="003D5DCA" w:rsidRDefault="003D5DCA" w:rsidP="003D5DCA">
      <w:pPr>
        <w:rPr>
          <w:b/>
        </w:rPr>
      </w:pPr>
      <w:r w:rsidRPr="003D5DCA">
        <w:rPr>
          <w:b/>
        </w:rPr>
        <w:t>Staff development</w:t>
      </w:r>
    </w:p>
    <w:p w:rsidR="003D5DCA" w:rsidRPr="003D5DCA" w:rsidRDefault="003D5DCA" w:rsidP="003D5DCA">
      <w:r w:rsidRPr="003D5DCA">
        <w:t>We are committed to developing the ongoing expertise of our staff.  We have current expertise in our school:</w:t>
      </w:r>
    </w:p>
    <w:tbl>
      <w:tblPr>
        <w:tblStyle w:val="TableGrid"/>
        <w:tblW w:w="0" w:type="auto"/>
        <w:tblLook w:val="04A0" w:firstRow="1" w:lastRow="0" w:firstColumn="1" w:lastColumn="0" w:noHBand="0" w:noVBand="1"/>
      </w:tblPr>
      <w:tblGrid>
        <w:gridCol w:w="2963"/>
        <w:gridCol w:w="2963"/>
        <w:gridCol w:w="2964"/>
      </w:tblGrid>
      <w:tr w:rsidR="003D5DCA" w:rsidRPr="003D5DCA" w:rsidTr="001465FA">
        <w:tc>
          <w:tcPr>
            <w:tcW w:w="2963"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Initials of person</w:t>
            </w:r>
          </w:p>
        </w:tc>
        <w:tc>
          <w:tcPr>
            <w:tcW w:w="2963"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Area of expertise</w:t>
            </w:r>
          </w:p>
        </w:tc>
        <w:tc>
          <w:tcPr>
            <w:tcW w:w="2964" w:type="dxa"/>
          </w:tcPr>
          <w:p w:rsidR="003D5DCA" w:rsidRPr="00E47F13" w:rsidRDefault="003D5DCA" w:rsidP="003D5DCA">
            <w:pPr>
              <w:spacing w:after="200" w:line="276" w:lineRule="auto"/>
              <w:rPr>
                <w:rFonts w:asciiTheme="minorHAnsi" w:hAnsiTheme="minorHAnsi" w:cstheme="minorBidi"/>
                <w:b/>
                <w:sz w:val="22"/>
                <w:szCs w:val="22"/>
              </w:rPr>
            </w:pPr>
            <w:r w:rsidRPr="00E47F13">
              <w:rPr>
                <w:rFonts w:asciiTheme="minorHAnsi" w:hAnsiTheme="minorHAnsi" w:cstheme="minorBidi"/>
                <w:b/>
                <w:sz w:val="22"/>
                <w:szCs w:val="22"/>
              </w:rPr>
              <w:t>Level (as per p58 of SEN Code of Practice 2014)</w:t>
            </w:r>
          </w:p>
        </w:tc>
      </w:tr>
      <w:tr w:rsidR="003D5DCA" w:rsidRPr="003D5DCA" w:rsidTr="001465FA">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SL</w:t>
            </w:r>
          </w:p>
        </w:tc>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SEND</w:t>
            </w:r>
          </w:p>
        </w:tc>
        <w:tc>
          <w:tcPr>
            <w:tcW w:w="2964"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NASENCO Qualification</w:t>
            </w:r>
          </w:p>
        </w:tc>
      </w:tr>
      <w:tr w:rsidR="003D5DCA" w:rsidRPr="003D5DCA" w:rsidTr="001465FA">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SL and DH</w:t>
            </w:r>
          </w:p>
        </w:tc>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ASD Leads</w:t>
            </w:r>
          </w:p>
        </w:tc>
        <w:tc>
          <w:tcPr>
            <w:tcW w:w="2964" w:type="dxa"/>
          </w:tcPr>
          <w:p w:rsidR="003D5DCA" w:rsidRPr="00E47F13" w:rsidRDefault="003D5DCA" w:rsidP="003D5DCA">
            <w:pPr>
              <w:spacing w:after="200" w:line="276" w:lineRule="auto"/>
              <w:rPr>
                <w:rFonts w:asciiTheme="minorHAnsi" w:hAnsiTheme="minorHAnsi" w:cstheme="minorBidi"/>
                <w:sz w:val="22"/>
                <w:szCs w:val="22"/>
              </w:rPr>
            </w:pPr>
          </w:p>
        </w:tc>
      </w:tr>
      <w:tr w:rsidR="003D5DCA" w:rsidRPr="003D5DCA" w:rsidTr="001465FA">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SL</w:t>
            </w:r>
          </w:p>
        </w:tc>
        <w:tc>
          <w:tcPr>
            <w:tcW w:w="2963" w:type="dxa"/>
          </w:tcPr>
          <w:p w:rsidR="003D5DCA" w:rsidRPr="00E47F13" w:rsidRDefault="00E47F13" w:rsidP="003D5DCA">
            <w:pPr>
              <w:spacing w:after="200" w:line="276" w:lineRule="auto"/>
              <w:rPr>
                <w:rFonts w:asciiTheme="minorHAnsi" w:hAnsiTheme="minorHAnsi" w:cstheme="minorBidi"/>
                <w:sz w:val="22"/>
                <w:szCs w:val="22"/>
              </w:rPr>
            </w:pPr>
            <w:r w:rsidRPr="00E47F13">
              <w:rPr>
                <w:rFonts w:asciiTheme="minorHAnsi" w:hAnsiTheme="minorHAnsi" w:cstheme="minorBidi"/>
                <w:sz w:val="22"/>
                <w:szCs w:val="22"/>
              </w:rPr>
              <w:t>Dyslexia</w:t>
            </w:r>
          </w:p>
        </w:tc>
        <w:tc>
          <w:tcPr>
            <w:tcW w:w="2964" w:type="dxa"/>
          </w:tcPr>
          <w:p w:rsidR="003D5DCA" w:rsidRPr="00E47F13" w:rsidRDefault="003D5DCA" w:rsidP="003D5DCA">
            <w:pPr>
              <w:spacing w:after="200" w:line="276" w:lineRule="auto"/>
              <w:rPr>
                <w:rFonts w:asciiTheme="minorHAnsi" w:hAnsiTheme="minorHAnsi" w:cstheme="minorBidi"/>
                <w:sz w:val="22"/>
                <w:szCs w:val="22"/>
              </w:rPr>
            </w:pPr>
          </w:p>
        </w:tc>
      </w:tr>
      <w:tr w:rsidR="00E47F13" w:rsidRPr="003D5DCA" w:rsidTr="001465FA">
        <w:tc>
          <w:tcPr>
            <w:tcW w:w="2963" w:type="dxa"/>
          </w:tcPr>
          <w:p w:rsidR="00E47F13" w:rsidRPr="00E47F13" w:rsidRDefault="00E47F13" w:rsidP="003D5DCA">
            <w:pPr>
              <w:rPr>
                <w:rFonts w:asciiTheme="minorHAnsi" w:hAnsiTheme="minorHAnsi"/>
                <w:sz w:val="22"/>
                <w:szCs w:val="22"/>
              </w:rPr>
            </w:pPr>
            <w:r w:rsidRPr="00E47F13">
              <w:rPr>
                <w:rFonts w:asciiTheme="minorHAnsi" w:hAnsiTheme="minorHAnsi"/>
                <w:sz w:val="22"/>
                <w:szCs w:val="22"/>
              </w:rPr>
              <w:t xml:space="preserve">JD, SL, LS, AM, </w:t>
            </w:r>
          </w:p>
        </w:tc>
        <w:tc>
          <w:tcPr>
            <w:tcW w:w="2963" w:type="dxa"/>
          </w:tcPr>
          <w:p w:rsidR="00E47F13" w:rsidRPr="00E47F13" w:rsidRDefault="00E47F13" w:rsidP="003D5DCA">
            <w:pPr>
              <w:rPr>
                <w:rFonts w:asciiTheme="minorHAnsi" w:hAnsiTheme="minorHAnsi"/>
                <w:sz w:val="22"/>
                <w:szCs w:val="22"/>
              </w:rPr>
            </w:pPr>
            <w:r w:rsidRPr="00E47F13">
              <w:rPr>
                <w:rFonts w:asciiTheme="minorHAnsi" w:hAnsiTheme="minorHAnsi"/>
                <w:sz w:val="22"/>
                <w:szCs w:val="22"/>
              </w:rPr>
              <w:t>MHFA</w:t>
            </w:r>
          </w:p>
          <w:p w:rsidR="00E47F13" w:rsidRPr="00E47F13" w:rsidRDefault="00E47F13" w:rsidP="003D5DCA">
            <w:pPr>
              <w:rPr>
                <w:rFonts w:asciiTheme="minorHAnsi" w:hAnsiTheme="minorHAnsi"/>
                <w:sz w:val="22"/>
                <w:szCs w:val="22"/>
              </w:rPr>
            </w:pPr>
            <w:r w:rsidRPr="00E47F13">
              <w:rPr>
                <w:rFonts w:asciiTheme="minorHAnsi" w:hAnsiTheme="minorHAnsi"/>
                <w:sz w:val="22"/>
                <w:szCs w:val="22"/>
              </w:rPr>
              <w:t>(Mental Health First Aid)</w:t>
            </w:r>
          </w:p>
        </w:tc>
        <w:tc>
          <w:tcPr>
            <w:tcW w:w="2964" w:type="dxa"/>
          </w:tcPr>
          <w:p w:rsidR="00E47F13" w:rsidRPr="00E47F13" w:rsidRDefault="00E47F13" w:rsidP="003D5DCA">
            <w:pPr>
              <w:rPr>
                <w:rFonts w:asciiTheme="minorHAnsi" w:hAnsiTheme="minorHAnsi"/>
                <w:sz w:val="22"/>
                <w:szCs w:val="22"/>
              </w:rPr>
            </w:pPr>
          </w:p>
        </w:tc>
      </w:tr>
      <w:tr w:rsidR="000B3B87" w:rsidRPr="003D5DCA" w:rsidTr="001465FA">
        <w:tc>
          <w:tcPr>
            <w:tcW w:w="2963" w:type="dxa"/>
          </w:tcPr>
          <w:p w:rsidR="000B3B87" w:rsidRPr="000B3B87" w:rsidRDefault="000B3B87" w:rsidP="003D5DCA">
            <w:pPr>
              <w:rPr>
                <w:rFonts w:asciiTheme="minorHAnsi" w:hAnsiTheme="minorHAnsi"/>
              </w:rPr>
            </w:pPr>
            <w:r w:rsidRPr="000B3B87">
              <w:rPr>
                <w:rFonts w:asciiTheme="minorHAnsi" w:hAnsiTheme="minorHAnsi"/>
              </w:rPr>
              <w:t>RG</w:t>
            </w:r>
          </w:p>
        </w:tc>
        <w:tc>
          <w:tcPr>
            <w:tcW w:w="2963" w:type="dxa"/>
          </w:tcPr>
          <w:p w:rsidR="000B3B87" w:rsidRPr="000B3B87" w:rsidRDefault="000B3B87" w:rsidP="003D5DCA">
            <w:pPr>
              <w:rPr>
                <w:rFonts w:asciiTheme="minorHAnsi" w:hAnsiTheme="minorHAnsi"/>
              </w:rPr>
            </w:pPr>
            <w:r w:rsidRPr="000B3B87">
              <w:rPr>
                <w:rFonts w:asciiTheme="minorHAnsi" w:hAnsiTheme="minorHAnsi"/>
              </w:rPr>
              <w:t>Mindfulness</w:t>
            </w:r>
          </w:p>
        </w:tc>
        <w:tc>
          <w:tcPr>
            <w:tcW w:w="2964" w:type="dxa"/>
          </w:tcPr>
          <w:p w:rsidR="000B3B87" w:rsidRPr="000B3B87" w:rsidRDefault="000B3B87" w:rsidP="003D5DCA">
            <w:pPr>
              <w:rPr>
                <w:rFonts w:asciiTheme="minorHAnsi" w:hAnsiTheme="minorHAnsi"/>
              </w:rPr>
            </w:pPr>
          </w:p>
        </w:tc>
      </w:tr>
      <w:tr w:rsidR="00E47F13" w:rsidRPr="003D5DCA" w:rsidTr="001465FA">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TB</w:t>
            </w:r>
          </w:p>
        </w:tc>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Makaton</w:t>
            </w:r>
          </w:p>
        </w:tc>
        <w:tc>
          <w:tcPr>
            <w:tcW w:w="2964" w:type="dxa"/>
          </w:tcPr>
          <w:p w:rsidR="00E47F13" w:rsidRPr="000B3B87" w:rsidRDefault="00E47F13" w:rsidP="003D5DCA">
            <w:pPr>
              <w:rPr>
                <w:rFonts w:asciiTheme="minorHAnsi" w:hAnsiTheme="minorHAnsi"/>
                <w:sz w:val="22"/>
                <w:szCs w:val="22"/>
              </w:rPr>
            </w:pPr>
          </w:p>
        </w:tc>
      </w:tr>
      <w:tr w:rsidR="00E47F13" w:rsidRPr="003D5DCA" w:rsidTr="001465FA">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EP</w:t>
            </w:r>
          </w:p>
        </w:tc>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Autism</w:t>
            </w:r>
          </w:p>
        </w:tc>
        <w:tc>
          <w:tcPr>
            <w:tcW w:w="2964"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Level 2</w:t>
            </w:r>
          </w:p>
        </w:tc>
      </w:tr>
      <w:tr w:rsidR="00E47F13" w:rsidRPr="003D5DCA" w:rsidTr="001465FA">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DH</w:t>
            </w:r>
          </w:p>
        </w:tc>
        <w:tc>
          <w:tcPr>
            <w:tcW w:w="2963" w:type="dxa"/>
          </w:tcPr>
          <w:p w:rsidR="00E47F13" w:rsidRPr="000B3B87" w:rsidRDefault="00E47F13" w:rsidP="003D5DCA">
            <w:pPr>
              <w:rPr>
                <w:rFonts w:asciiTheme="minorHAnsi" w:hAnsiTheme="minorHAnsi"/>
                <w:sz w:val="22"/>
                <w:szCs w:val="22"/>
              </w:rPr>
            </w:pPr>
            <w:r w:rsidRPr="000B3B87">
              <w:rPr>
                <w:rFonts w:asciiTheme="minorHAnsi" w:hAnsiTheme="minorHAnsi"/>
                <w:sz w:val="22"/>
                <w:szCs w:val="22"/>
              </w:rPr>
              <w:t>Tree of Life</w:t>
            </w:r>
          </w:p>
        </w:tc>
        <w:tc>
          <w:tcPr>
            <w:tcW w:w="2964" w:type="dxa"/>
          </w:tcPr>
          <w:p w:rsidR="00E47F13" w:rsidRPr="000B3B87" w:rsidRDefault="00E47F13" w:rsidP="003D5DCA">
            <w:pPr>
              <w:rPr>
                <w:rFonts w:asciiTheme="minorHAnsi" w:hAnsiTheme="minorHAnsi"/>
                <w:sz w:val="22"/>
                <w:szCs w:val="22"/>
              </w:rPr>
            </w:pPr>
          </w:p>
        </w:tc>
      </w:tr>
    </w:tbl>
    <w:p w:rsidR="003D5DCA" w:rsidRPr="003D5DCA" w:rsidRDefault="003D5DCA" w:rsidP="003D5DCA">
      <w:r w:rsidRPr="003D5DCA">
        <w:tab/>
      </w:r>
    </w:p>
    <w:p w:rsidR="003D5DCA" w:rsidRPr="003D5DCA" w:rsidRDefault="003D5DCA" w:rsidP="003D5DCA">
      <w:pPr>
        <w:rPr>
          <w:b/>
          <w:i/>
        </w:rPr>
      </w:pPr>
      <w:r w:rsidRPr="003D5DCA">
        <w:rPr>
          <w:b/>
          <w:i/>
        </w:rPr>
        <w:t>Since September 2015 we have put in additional training for staff in;</w:t>
      </w:r>
      <w:r w:rsidRPr="003D5DCA">
        <w:rPr>
          <w:b/>
          <w:i/>
        </w:rPr>
        <w:tab/>
      </w:r>
    </w:p>
    <w:p w:rsidR="003D5DCA" w:rsidRPr="003D5DCA" w:rsidRDefault="003D5DCA" w:rsidP="003D5DCA">
      <w:pPr>
        <w:rPr>
          <w:i/>
        </w:rPr>
      </w:pPr>
      <w:r w:rsidRPr="003D5DCA">
        <w:rPr>
          <w:i/>
        </w:rPr>
        <w:t>ASD Awareness</w:t>
      </w:r>
    </w:p>
    <w:p w:rsidR="003D5DCA" w:rsidRPr="003D5DCA" w:rsidRDefault="003D5DCA" w:rsidP="003D5DCA">
      <w:pPr>
        <w:rPr>
          <w:i/>
        </w:rPr>
      </w:pPr>
      <w:r w:rsidRPr="003D5DCA">
        <w:rPr>
          <w:i/>
        </w:rPr>
        <w:t>Attachment Disorders</w:t>
      </w:r>
    </w:p>
    <w:p w:rsidR="003D5DCA" w:rsidRPr="003D5DCA" w:rsidRDefault="003D5DCA" w:rsidP="003D5DCA">
      <w:pPr>
        <w:rPr>
          <w:i/>
        </w:rPr>
      </w:pPr>
      <w:r w:rsidRPr="003D5DCA">
        <w:rPr>
          <w:i/>
        </w:rPr>
        <w:t>Emotional Literacy</w:t>
      </w:r>
    </w:p>
    <w:p w:rsidR="003D5DCA" w:rsidRPr="003D5DCA" w:rsidRDefault="003D5DCA" w:rsidP="003D5DCA">
      <w:pPr>
        <w:rPr>
          <w:i/>
        </w:rPr>
      </w:pPr>
      <w:r w:rsidRPr="003D5DCA">
        <w:rPr>
          <w:i/>
        </w:rPr>
        <w:t>Circle of Friends</w:t>
      </w:r>
    </w:p>
    <w:p w:rsidR="003D5DCA" w:rsidRPr="003D5DCA" w:rsidRDefault="003D5DCA" w:rsidP="003D5DCA">
      <w:pPr>
        <w:rPr>
          <w:i/>
        </w:rPr>
      </w:pPr>
      <w:r w:rsidRPr="003D5DCA">
        <w:rPr>
          <w:i/>
        </w:rPr>
        <w:t>Positive Behaviour Management</w:t>
      </w:r>
    </w:p>
    <w:p w:rsidR="003D5DCA" w:rsidRPr="003D5DCA" w:rsidRDefault="003D5DCA" w:rsidP="003D5DCA">
      <w:pPr>
        <w:rPr>
          <w:i/>
        </w:rPr>
      </w:pPr>
      <w:r w:rsidRPr="003D5DCA">
        <w:rPr>
          <w:i/>
        </w:rPr>
        <w:t>Team Teach and Positive Handling</w:t>
      </w:r>
    </w:p>
    <w:p w:rsidR="003D5DCA" w:rsidRDefault="003D5DCA" w:rsidP="003D5DCA">
      <w:pPr>
        <w:rPr>
          <w:i/>
        </w:rPr>
      </w:pPr>
      <w:r w:rsidRPr="003D5DCA">
        <w:rPr>
          <w:i/>
        </w:rPr>
        <w:t>Developing fine motor skills and handwriting.</w:t>
      </w:r>
    </w:p>
    <w:p w:rsidR="002736AE" w:rsidRDefault="002736AE" w:rsidP="003D5DCA">
      <w:pPr>
        <w:rPr>
          <w:i/>
        </w:rPr>
      </w:pPr>
      <w:r>
        <w:rPr>
          <w:i/>
        </w:rPr>
        <w:t>Mental Health First Aid</w:t>
      </w:r>
    </w:p>
    <w:p w:rsidR="002736AE" w:rsidRDefault="002736AE" w:rsidP="003D5DCA">
      <w:pPr>
        <w:rPr>
          <w:i/>
        </w:rPr>
      </w:pPr>
      <w:r>
        <w:rPr>
          <w:i/>
        </w:rPr>
        <w:t>Dyslexia</w:t>
      </w:r>
    </w:p>
    <w:p w:rsidR="003D5DCA" w:rsidRPr="003D5DCA" w:rsidRDefault="003D5DCA" w:rsidP="003D5DCA">
      <w:pPr>
        <w:rPr>
          <w:b/>
        </w:rPr>
      </w:pPr>
      <w:r w:rsidRPr="003D5DCA">
        <w:rPr>
          <w:b/>
        </w:rPr>
        <w:t>Staff deployment</w:t>
      </w:r>
    </w:p>
    <w:p w:rsidR="007F11E6" w:rsidRPr="009B30B6" w:rsidRDefault="003D5DCA" w:rsidP="003D5DCA">
      <w:r w:rsidRPr="003D5DCA">
        <w:t>Considerable thought, planning and preparation goes into utilising our support staff to ensure children achieve the best outcomes, gain independence and are prepared for adulthood from the earliest possible age.</w:t>
      </w:r>
    </w:p>
    <w:p w:rsidR="003D5DCA" w:rsidRPr="003D5DCA" w:rsidRDefault="003D5DCA" w:rsidP="003D5DCA">
      <w:pPr>
        <w:rPr>
          <w:b/>
          <w:u w:val="single"/>
        </w:rPr>
      </w:pPr>
      <w:r w:rsidRPr="003D5DCA">
        <w:rPr>
          <w:b/>
          <w:u w:val="single"/>
        </w:rPr>
        <w:t>Support Staff within Red Hall Primary School include;</w:t>
      </w:r>
    </w:p>
    <w:p w:rsidR="003D5DCA" w:rsidRPr="003D5DCA" w:rsidRDefault="000B3B87" w:rsidP="003D5DCA">
      <w:r>
        <w:t>3</w:t>
      </w:r>
      <w:r w:rsidR="003D5DCA" w:rsidRPr="003D5DCA">
        <w:t xml:space="preserve"> HLTA’s (One per Key Stage)</w:t>
      </w:r>
    </w:p>
    <w:p w:rsidR="003D5DCA" w:rsidRPr="003D5DCA" w:rsidRDefault="003D5DCA" w:rsidP="003D5DCA">
      <w:r w:rsidRPr="003D5DCA">
        <w:t>4 Level 3 TA’s</w:t>
      </w:r>
    </w:p>
    <w:p w:rsidR="003D5DCA" w:rsidRPr="003D5DCA" w:rsidRDefault="003D5DCA" w:rsidP="003D5DCA">
      <w:r w:rsidRPr="003D5DCA">
        <w:t xml:space="preserve">3 Level 2 TA’s </w:t>
      </w:r>
    </w:p>
    <w:p w:rsidR="003D5DCA" w:rsidRPr="003D5DCA" w:rsidRDefault="000B3B87" w:rsidP="003D5DCA">
      <w:r>
        <w:t>3</w:t>
      </w:r>
      <w:r w:rsidR="003D5DCA" w:rsidRPr="003D5DCA">
        <w:t xml:space="preserve"> Classroom Assistants</w:t>
      </w:r>
    </w:p>
    <w:p w:rsidR="003D5DCA" w:rsidRDefault="003D5DCA" w:rsidP="003D5DCA">
      <w:r w:rsidRPr="003D5DCA">
        <w:t>4 Apprentice Teaching Assistants</w:t>
      </w:r>
    </w:p>
    <w:p w:rsidR="009B30B6" w:rsidRPr="003D5DCA" w:rsidRDefault="009B30B6" w:rsidP="003D5DCA"/>
    <w:p w:rsidR="003D5DCA" w:rsidRPr="009B30B6" w:rsidRDefault="003D5DCA" w:rsidP="003D5DCA">
      <w:pPr>
        <w:rPr>
          <w:b/>
        </w:rPr>
      </w:pPr>
      <w:r w:rsidRPr="003D5DCA">
        <w:rPr>
          <w:b/>
        </w:rPr>
        <w:t>School Partnerships and Transitions</w:t>
      </w:r>
    </w:p>
    <w:p w:rsidR="003D5DCA" w:rsidRPr="003D5DCA" w:rsidRDefault="003D5DCA" w:rsidP="003D5DCA">
      <w:r w:rsidRPr="003D5DCA">
        <w:t xml:space="preserve">We recognise that transitions can be difficult for a child with SEND and take steps to ensure that any transition is as smooth as possible.  This can include transition to and from the school; Key Stages and between Year groups. This can be done at various points throughout the year. </w:t>
      </w:r>
    </w:p>
    <w:p w:rsidR="003D5DCA" w:rsidRDefault="003D5DCA" w:rsidP="003D5DCA">
      <w:r w:rsidRPr="003D5DCA">
        <w:t>Transition to various local Secondary Schools is carefully planned, with the SENDCO’s from primary and secondary school working in close partn</w:t>
      </w:r>
      <w:r w:rsidR="00493B60">
        <w:t>ership to share key information and with our own school learning mentor taking a lead role in planning individualised transition for more vulnerable and SEND pupils.</w:t>
      </w:r>
    </w:p>
    <w:p w:rsidR="009B30B6" w:rsidRDefault="009B30B6" w:rsidP="003D5DCA"/>
    <w:p w:rsidR="009B30B6" w:rsidRPr="003D5DCA" w:rsidRDefault="009B30B6" w:rsidP="003D5DCA"/>
    <w:p w:rsidR="003D5DCA" w:rsidRPr="003D5DCA" w:rsidRDefault="003D5DCA" w:rsidP="003D5DCA">
      <w:pPr>
        <w:rPr>
          <w:b/>
        </w:rPr>
      </w:pPr>
      <w:r w:rsidRPr="003D5DCA">
        <w:rPr>
          <w:b/>
        </w:rPr>
        <w:t>Complaints</w:t>
      </w:r>
    </w:p>
    <w:p w:rsidR="003D5DCA" w:rsidRPr="003D5DCA" w:rsidRDefault="003D5DCA" w:rsidP="003D5DCA">
      <w:r w:rsidRPr="003D5DCA">
        <w:t>We hope that complaints about SEND provision will be rare, however, if there should be a concern the process is outlined within our complaints policy which is available on the school website or from the office.</w:t>
      </w:r>
    </w:p>
    <w:p w:rsidR="003D5DCA" w:rsidRPr="003D5DCA" w:rsidRDefault="003D5DCA" w:rsidP="003D5DCA"/>
    <w:p w:rsidR="003D5DCA" w:rsidRPr="003D5DCA" w:rsidRDefault="003D5DCA" w:rsidP="003D5DCA">
      <w:pPr>
        <w:rPr>
          <w:b/>
        </w:rPr>
      </w:pPr>
    </w:p>
    <w:p w:rsidR="003D5DCA" w:rsidRPr="003D5DCA" w:rsidRDefault="003D5DCA" w:rsidP="003D5DCA">
      <w:pPr>
        <w:rPr>
          <w:b/>
        </w:rPr>
      </w:pPr>
    </w:p>
    <w:p w:rsidR="003D5DCA" w:rsidRPr="003D5DCA" w:rsidRDefault="003D5DCA" w:rsidP="003D5DCA">
      <w:pPr>
        <w:rPr>
          <w:b/>
        </w:rPr>
      </w:pPr>
    </w:p>
    <w:p w:rsidR="003D5DCA" w:rsidRDefault="003D5DCA" w:rsidP="00573F08"/>
    <w:p w:rsidR="003D5DCA" w:rsidRDefault="003D5DCA" w:rsidP="00573F08"/>
    <w:sectPr w:rsidR="003D5DCA" w:rsidSect="002B1944">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0F" w:rsidRDefault="0080270F" w:rsidP="002B1944">
      <w:pPr>
        <w:spacing w:after="0" w:line="240" w:lineRule="auto"/>
      </w:pPr>
      <w:r>
        <w:separator/>
      </w:r>
    </w:p>
  </w:endnote>
  <w:endnote w:type="continuationSeparator" w:id="0">
    <w:p w:rsidR="0080270F" w:rsidRDefault="0080270F" w:rsidP="002B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0F" w:rsidRDefault="0080270F" w:rsidP="002B1944">
      <w:pPr>
        <w:spacing w:after="0" w:line="240" w:lineRule="auto"/>
      </w:pPr>
      <w:r>
        <w:separator/>
      </w:r>
    </w:p>
  </w:footnote>
  <w:footnote w:type="continuationSeparator" w:id="0">
    <w:p w:rsidR="0080270F" w:rsidRDefault="0080270F" w:rsidP="002B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8A" w:rsidRDefault="007F6675" w:rsidP="002B1944">
    <w:pPr>
      <w:pStyle w:val="Header"/>
      <w:jc w:val="center"/>
    </w:pPr>
    <w:r>
      <w:t>SEND</w:t>
    </w:r>
    <w:r w:rsidR="0082048A">
      <w:t xml:space="preserve"> Policy</w:t>
    </w:r>
  </w:p>
  <w:p w:rsidR="0082048A" w:rsidRDefault="008204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DFA"/>
    <w:multiLevelType w:val="hybridMultilevel"/>
    <w:tmpl w:val="F37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64441"/>
    <w:multiLevelType w:val="hybridMultilevel"/>
    <w:tmpl w:val="8E32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43376"/>
    <w:multiLevelType w:val="hybridMultilevel"/>
    <w:tmpl w:val="ED6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D3FCA"/>
    <w:multiLevelType w:val="hybridMultilevel"/>
    <w:tmpl w:val="ADF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46B5E"/>
    <w:multiLevelType w:val="hybridMultilevel"/>
    <w:tmpl w:val="61E4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47E3D"/>
    <w:multiLevelType w:val="hybridMultilevel"/>
    <w:tmpl w:val="CC52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9238A"/>
    <w:multiLevelType w:val="hybridMultilevel"/>
    <w:tmpl w:val="39327D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2672588"/>
    <w:multiLevelType w:val="hybridMultilevel"/>
    <w:tmpl w:val="245A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B6C10"/>
    <w:multiLevelType w:val="hybridMultilevel"/>
    <w:tmpl w:val="F446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326B1"/>
    <w:multiLevelType w:val="hybridMultilevel"/>
    <w:tmpl w:val="1968F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E5FF4"/>
    <w:multiLevelType w:val="hybridMultilevel"/>
    <w:tmpl w:val="D22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D2FEB"/>
    <w:multiLevelType w:val="hybridMultilevel"/>
    <w:tmpl w:val="E21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5"/>
  </w:num>
  <w:num w:numId="8">
    <w:abstractNumId w:val="8"/>
  </w:num>
  <w:num w:numId="9">
    <w:abstractNumId w:val="10"/>
  </w:num>
  <w:num w:numId="10">
    <w:abstractNumId w:val="11"/>
  </w:num>
  <w:num w:numId="11">
    <w:abstractNumId w:val="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4"/>
    <w:rsid w:val="00031F2B"/>
    <w:rsid w:val="00084B16"/>
    <w:rsid w:val="00092863"/>
    <w:rsid w:val="000A7A2C"/>
    <w:rsid w:val="000B3B87"/>
    <w:rsid w:val="000D2B24"/>
    <w:rsid w:val="00111367"/>
    <w:rsid w:val="00113D1C"/>
    <w:rsid w:val="00114961"/>
    <w:rsid w:val="00141B39"/>
    <w:rsid w:val="001509E0"/>
    <w:rsid w:val="001702D7"/>
    <w:rsid w:val="0017794F"/>
    <w:rsid w:val="001D4002"/>
    <w:rsid w:val="001F4FB4"/>
    <w:rsid w:val="002353AF"/>
    <w:rsid w:val="00254D22"/>
    <w:rsid w:val="00262ECB"/>
    <w:rsid w:val="002736AE"/>
    <w:rsid w:val="002A3880"/>
    <w:rsid w:val="002B1944"/>
    <w:rsid w:val="002C0757"/>
    <w:rsid w:val="002E14D0"/>
    <w:rsid w:val="00342530"/>
    <w:rsid w:val="003C1CFD"/>
    <w:rsid w:val="003D5DCA"/>
    <w:rsid w:val="00402765"/>
    <w:rsid w:val="0043575B"/>
    <w:rsid w:val="00462730"/>
    <w:rsid w:val="00493B60"/>
    <w:rsid w:val="004C07E1"/>
    <w:rsid w:val="004E62B3"/>
    <w:rsid w:val="004F3F89"/>
    <w:rsid w:val="005047AD"/>
    <w:rsid w:val="00513AFA"/>
    <w:rsid w:val="00521A8D"/>
    <w:rsid w:val="0053676C"/>
    <w:rsid w:val="00573F08"/>
    <w:rsid w:val="00595E85"/>
    <w:rsid w:val="005A1DC3"/>
    <w:rsid w:val="005B3F86"/>
    <w:rsid w:val="005E1D65"/>
    <w:rsid w:val="0060676B"/>
    <w:rsid w:val="00615AD7"/>
    <w:rsid w:val="006237D7"/>
    <w:rsid w:val="00626358"/>
    <w:rsid w:val="00646A0C"/>
    <w:rsid w:val="006534FD"/>
    <w:rsid w:val="006840FF"/>
    <w:rsid w:val="006B4EA5"/>
    <w:rsid w:val="007053D3"/>
    <w:rsid w:val="00723CB3"/>
    <w:rsid w:val="007A4B91"/>
    <w:rsid w:val="007C2D10"/>
    <w:rsid w:val="007C7C29"/>
    <w:rsid w:val="007F11E6"/>
    <w:rsid w:val="007F6675"/>
    <w:rsid w:val="0080270F"/>
    <w:rsid w:val="0082048A"/>
    <w:rsid w:val="00847589"/>
    <w:rsid w:val="00863343"/>
    <w:rsid w:val="008942D9"/>
    <w:rsid w:val="008D421C"/>
    <w:rsid w:val="008F7963"/>
    <w:rsid w:val="00902855"/>
    <w:rsid w:val="00906F21"/>
    <w:rsid w:val="0092547A"/>
    <w:rsid w:val="00967731"/>
    <w:rsid w:val="0097460C"/>
    <w:rsid w:val="00974AA4"/>
    <w:rsid w:val="00975CCD"/>
    <w:rsid w:val="00986FC4"/>
    <w:rsid w:val="009B12FD"/>
    <w:rsid w:val="009B30B6"/>
    <w:rsid w:val="009D0572"/>
    <w:rsid w:val="00A21BE3"/>
    <w:rsid w:val="00A258C4"/>
    <w:rsid w:val="00A94D17"/>
    <w:rsid w:val="00AA1773"/>
    <w:rsid w:val="00AA5386"/>
    <w:rsid w:val="00B927D9"/>
    <w:rsid w:val="00BA6B61"/>
    <w:rsid w:val="00BC3E4E"/>
    <w:rsid w:val="00BD102F"/>
    <w:rsid w:val="00BE5792"/>
    <w:rsid w:val="00C027E2"/>
    <w:rsid w:val="00C065B7"/>
    <w:rsid w:val="00C46F47"/>
    <w:rsid w:val="00C5248C"/>
    <w:rsid w:val="00C61D07"/>
    <w:rsid w:val="00C90B01"/>
    <w:rsid w:val="00C9697F"/>
    <w:rsid w:val="00CA0F8E"/>
    <w:rsid w:val="00CD249A"/>
    <w:rsid w:val="00CE297D"/>
    <w:rsid w:val="00CF58AB"/>
    <w:rsid w:val="00D923C5"/>
    <w:rsid w:val="00DA74F2"/>
    <w:rsid w:val="00DB6142"/>
    <w:rsid w:val="00DE2DE3"/>
    <w:rsid w:val="00DF6502"/>
    <w:rsid w:val="00E04AEE"/>
    <w:rsid w:val="00E47F13"/>
    <w:rsid w:val="00E60855"/>
    <w:rsid w:val="00E82681"/>
    <w:rsid w:val="00E847C9"/>
    <w:rsid w:val="00E93171"/>
    <w:rsid w:val="00E9637F"/>
    <w:rsid w:val="00E968C0"/>
    <w:rsid w:val="00EE0701"/>
    <w:rsid w:val="00F01466"/>
    <w:rsid w:val="00F243C6"/>
    <w:rsid w:val="00F70F73"/>
    <w:rsid w:val="00F82070"/>
    <w:rsid w:val="00F846D7"/>
    <w:rsid w:val="00FB2856"/>
    <w:rsid w:val="00FD0FCD"/>
    <w:rsid w:val="00FD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D79CF-50E1-4917-BD8A-44C3FCAD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 - 1"/>
    <w:basedOn w:val="Normal"/>
    <w:next w:val="Normal"/>
    <w:link w:val="Heading1Char"/>
    <w:qFormat/>
    <w:rsid w:val="005B3F86"/>
    <w:pPr>
      <w:keepNext/>
      <w:spacing w:after="0" w:line="240" w:lineRule="auto"/>
      <w:jc w:val="center"/>
      <w:outlineLvl w:val="0"/>
    </w:pPr>
    <w:rPr>
      <w:rFonts w:ascii="Tahoma" w:eastAsia="Times New Roman" w:hAnsi="Tahoma" w:cs="Tahoma"/>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944"/>
  </w:style>
  <w:style w:type="paragraph" w:styleId="Footer">
    <w:name w:val="footer"/>
    <w:basedOn w:val="Normal"/>
    <w:link w:val="FooterChar"/>
    <w:uiPriority w:val="99"/>
    <w:unhideWhenUsed/>
    <w:rsid w:val="002B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944"/>
  </w:style>
  <w:style w:type="paragraph" w:styleId="BalloonText">
    <w:name w:val="Balloon Text"/>
    <w:basedOn w:val="Normal"/>
    <w:link w:val="BalloonTextChar"/>
    <w:uiPriority w:val="99"/>
    <w:semiHidden/>
    <w:unhideWhenUsed/>
    <w:rsid w:val="002B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4"/>
    <w:rPr>
      <w:rFonts w:ascii="Tahoma" w:hAnsi="Tahoma" w:cs="Tahoma"/>
      <w:sz w:val="16"/>
      <w:szCs w:val="16"/>
    </w:rPr>
  </w:style>
  <w:style w:type="paragraph" w:styleId="ListParagraph">
    <w:name w:val="List Paragraph"/>
    <w:basedOn w:val="Normal"/>
    <w:uiPriority w:val="34"/>
    <w:qFormat/>
    <w:rsid w:val="00BE5792"/>
    <w:pPr>
      <w:ind w:left="720"/>
      <w:contextualSpacing/>
    </w:pPr>
  </w:style>
  <w:style w:type="paragraph" w:customStyle="1" w:styleId="Default">
    <w:name w:val="Default"/>
    <w:rsid w:val="00615AD7"/>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customStyle="1" w:styleId="CM8">
    <w:name w:val="CM8"/>
    <w:basedOn w:val="Default"/>
    <w:next w:val="Default"/>
    <w:uiPriority w:val="99"/>
    <w:rsid w:val="00615AD7"/>
    <w:rPr>
      <w:rFonts w:ascii="Arial" w:hAnsi="Arial" w:cs="Arial"/>
      <w:color w:val="auto"/>
    </w:rPr>
  </w:style>
  <w:style w:type="paragraph" w:styleId="NoSpacing">
    <w:name w:val="No Spacing"/>
    <w:uiPriority w:val="1"/>
    <w:qFormat/>
    <w:rsid w:val="00615AD7"/>
    <w:pPr>
      <w:spacing w:after="0" w:line="240" w:lineRule="auto"/>
    </w:pPr>
  </w:style>
  <w:style w:type="character" w:styleId="Hyperlink">
    <w:name w:val="Hyperlink"/>
    <w:uiPriority w:val="99"/>
    <w:rsid w:val="00615AD7"/>
    <w:rPr>
      <w:color w:val="0000FF"/>
      <w:u w:val="single"/>
    </w:rPr>
  </w:style>
  <w:style w:type="paragraph" w:styleId="NormalWeb">
    <w:name w:val="Normal (Web)"/>
    <w:basedOn w:val="Normal"/>
    <w:rsid w:val="00615A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48">
    <w:name w:val="CM148"/>
    <w:basedOn w:val="Default"/>
    <w:next w:val="Default"/>
    <w:uiPriority w:val="99"/>
    <w:rsid w:val="00A94D17"/>
    <w:rPr>
      <w:rFonts w:ascii="Arial" w:hAnsi="Arial" w:cs="Arial"/>
      <w:color w:val="auto"/>
    </w:rPr>
  </w:style>
  <w:style w:type="paragraph" w:customStyle="1" w:styleId="CM154">
    <w:name w:val="CM154"/>
    <w:basedOn w:val="Default"/>
    <w:next w:val="Default"/>
    <w:uiPriority w:val="99"/>
    <w:rsid w:val="00084B16"/>
    <w:rPr>
      <w:rFonts w:ascii="Arial" w:hAnsi="Arial" w:cs="Arial"/>
      <w:color w:val="auto"/>
    </w:rPr>
  </w:style>
  <w:style w:type="paragraph" w:customStyle="1" w:styleId="CM2">
    <w:name w:val="CM2"/>
    <w:basedOn w:val="Default"/>
    <w:next w:val="Default"/>
    <w:uiPriority w:val="99"/>
    <w:rsid w:val="00975CCD"/>
    <w:pPr>
      <w:spacing w:line="258" w:lineRule="atLeast"/>
    </w:pPr>
    <w:rPr>
      <w:rFonts w:ascii="Arial" w:hAnsi="Arial" w:cs="Arial"/>
      <w:color w:val="auto"/>
    </w:rPr>
  </w:style>
  <w:style w:type="paragraph" w:customStyle="1" w:styleId="CM158">
    <w:name w:val="CM158"/>
    <w:basedOn w:val="Default"/>
    <w:next w:val="Default"/>
    <w:uiPriority w:val="99"/>
    <w:rsid w:val="00975CCD"/>
    <w:rPr>
      <w:rFonts w:ascii="Arial" w:hAnsi="Arial" w:cs="Arial"/>
      <w:color w:val="auto"/>
    </w:rPr>
  </w:style>
  <w:style w:type="paragraph" w:customStyle="1" w:styleId="CM4">
    <w:name w:val="CM4"/>
    <w:basedOn w:val="Default"/>
    <w:next w:val="Default"/>
    <w:uiPriority w:val="99"/>
    <w:rsid w:val="00CA0F8E"/>
    <w:pPr>
      <w:spacing w:line="258" w:lineRule="atLeast"/>
    </w:pPr>
    <w:rPr>
      <w:rFonts w:ascii="Arial" w:hAnsi="Arial" w:cs="Arial"/>
      <w:color w:val="auto"/>
    </w:rPr>
  </w:style>
  <w:style w:type="character" w:customStyle="1" w:styleId="Heading1Char">
    <w:name w:val="Heading 1 Char"/>
    <w:aliases w:val="Numbered - 1 Char"/>
    <w:basedOn w:val="DefaultParagraphFont"/>
    <w:link w:val="Heading1"/>
    <w:rsid w:val="005B3F86"/>
    <w:rPr>
      <w:rFonts w:ascii="Tahoma" w:eastAsia="Times New Roman" w:hAnsi="Tahoma" w:cs="Tahoma"/>
      <w:b/>
      <w:bCs/>
      <w:sz w:val="48"/>
      <w:szCs w:val="24"/>
    </w:rPr>
  </w:style>
  <w:style w:type="paragraph" w:styleId="BodyTextIndent">
    <w:name w:val="Body Text Indent"/>
    <w:basedOn w:val="Normal"/>
    <w:link w:val="BodyTextIndentChar"/>
    <w:uiPriority w:val="99"/>
    <w:semiHidden/>
    <w:rsid w:val="005B3F8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B3F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048A"/>
    <w:rPr>
      <w:sz w:val="16"/>
      <w:szCs w:val="16"/>
    </w:rPr>
  </w:style>
  <w:style w:type="paragraph" w:styleId="CommentText">
    <w:name w:val="annotation text"/>
    <w:basedOn w:val="Normal"/>
    <w:link w:val="CommentTextChar"/>
    <w:uiPriority w:val="99"/>
    <w:semiHidden/>
    <w:unhideWhenUsed/>
    <w:rsid w:val="0082048A"/>
    <w:pPr>
      <w:spacing w:line="240" w:lineRule="auto"/>
    </w:pPr>
    <w:rPr>
      <w:sz w:val="20"/>
      <w:szCs w:val="20"/>
    </w:rPr>
  </w:style>
  <w:style w:type="character" w:customStyle="1" w:styleId="CommentTextChar">
    <w:name w:val="Comment Text Char"/>
    <w:basedOn w:val="DefaultParagraphFont"/>
    <w:link w:val="CommentText"/>
    <w:uiPriority w:val="99"/>
    <w:semiHidden/>
    <w:rsid w:val="0082048A"/>
    <w:rPr>
      <w:sz w:val="20"/>
      <w:szCs w:val="20"/>
    </w:rPr>
  </w:style>
  <w:style w:type="paragraph" w:styleId="CommentSubject">
    <w:name w:val="annotation subject"/>
    <w:basedOn w:val="CommentText"/>
    <w:next w:val="CommentText"/>
    <w:link w:val="CommentSubjectChar"/>
    <w:uiPriority w:val="99"/>
    <w:semiHidden/>
    <w:unhideWhenUsed/>
    <w:rsid w:val="0082048A"/>
    <w:rPr>
      <w:b/>
      <w:bCs/>
    </w:rPr>
  </w:style>
  <w:style w:type="character" w:customStyle="1" w:styleId="CommentSubjectChar">
    <w:name w:val="Comment Subject Char"/>
    <w:basedOn w:val="CommentTextChar"/>
    <w:link w:val="CommentSubject"/>
    <w:uiPriority w:val="99"/>
    <w:semiHidden/>
    <w:rsid w:val="0082048A"/>
    <w:rPr>
      <w:b/>
      <w:bCs/>
      <w:sz w:val="20"/>
      <w:szCs w:val="20"/>
    </w:rPr>
  </w:style>
  <w:style w:type="table" w:styleId="TableGrid">
    <w:name w:val="Table Grid"/>
    <w:basedOn w:val="TableNormal"/>
    <w:rsid w:val="00EE0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4536">
      <w:bodyDiv w:val="1"/>
      <w:marLeft w:val="0"/>
      <w:marRight w:val="0"/>
      <w:marTop w:val="0"/>
      <w:marBottom w:val="0"/>
      <w:divBdr>
        <w:top w:val="none" w:sz="0" w:space="0" w:color="auto"/>
        <w:left w:val="none" w:sz="0" w:space="0" w:color="auto"/>
        <w:bottom w:val="none" w:sz="0" w:space="0" w:color="auto"/>
        <w:right w:val="none" w:sz="0" w:space="0" w:color="auto"/>
      </w:divBdr>
      <w:divsChild>
        <w:div w:id="125897074">
          <w:marLeft w:val="1166"/>
          <w:marRight w:val="0"/>
          <w:marTop w:val="115"/>
          <w:marBottom w:val="0"/>
          <w:divBdr>
            <w:top w:val="none" w:sz="0" w:space="0" w:color="auto"/>
            <w:left w:val="none" w:sz="0" w:space="0" w:color="auto"/>
            <w:bottom w:val="none" w:sz="0" w:space="0" w:color="auto"/>
            <w:right w:val="none" w:sz="0" w:space="0" w:color="auto"/>
          </w:divBdr>
        </w:div>
        <w:div w:id="313070785">
          <w:marLeft w:val="1166"/>
          <w:marRight w:val="0"/>
          <w:marTop w:val="115"/>
          <w:marBottom w:val="0"/>
          <w:divBdr>
            <w:top w:val="none" w:sz="0" w:space="0" w:color="auto"/>
            <w:left w:val="none" w:sz="0" w:space="0" w:color="auto"/>
            <w:bottom w:val="none" w:sz="0" w:space="0" w:color="auto"/>
            <w:right w:val="none" w:sz="0" w:space="0" w:color="auto"/>
          </w:divBdr>
        </w:div>
        <w:div w:id="486433514">
          <w:marLeft w:val="1166"/>
          <w:marRight w:val="0"/>
          <w:marTop w:val="115"/>
          <w:marBottom w:val="0"/>
          <w:divBdr>
            <w:top w:val="none" w:sz="0" w:space="0" w:color="auto"/>
            <w:left w:val="none" w:sz="0" w:space="0" w:color="auto"/>
            <w:bottom w:val="none" w:sz="0" w:space="0" w:color="auto"/>
            <w:right w:val="none" w:sz="0" w:space="0" w:color="auto"/>
          </w:divBdr>
        </w:div>
        <w:div w:id="514198720">
          <w:marLeft w:val="1166"/>
          <w:marRight w:val="0"/>
          <w:marTop w:val="115"/>
          <w:marBottom w:val="0"/>
          <w:divBdr>
            <w:top w:val="none" w:sz="0" w:space="0" w:color="auto"/>
            <w:left w:val="none" w:sz="0" w:space="0" w:color="auto"/>
            <w:bottom w:val="none" w:sz="0" w:space="0" w:color="auto"/>
            <w:right w:val="none" w:sz="0" w:space="0" w:color="auto"/>
          </w:divBdr>
        </w:div>
        <w:div w:id="1093089994">
          <w:marLeft w:val="1166"/>
          <w:marRight w:val="0"/>
          <w:marTop w:val="115"/>
          <w:marBottom w:val="0"/>
          <w:divBdr>
            <w:top w:val="none" w:sz="0" w:space="0" w:color="auto"/>
            <w:left w:val="none" w:sz="0" w:space="0" w:color="auto"/>
            <w:bottom w:val="none" w:sz="0" w:space="0" w:color="auto"/>
            <w:right w:val="none" w:sz="0" w:space="0" w:color="auto"/>
          </w:divBdr>
        </w:div>
        <w:div w:id="1622028411">
          <w:marLeft w:val="1166"/>
          <w:marRight w:val="0"/>
          <w:marTop w:val="115"/>
          <w:marBottom w:val="0"/>
          <w:divBdr>
            <w:top w:val="none" w:sz="0" w:space="0" w:color="auto"/>
            <w:left w:val="none" w:sz="0" w:space="0" w:color="auto"/>
            <w:bottom w:val="none" w:sz="0" w:space="0" w:color="auto"/>
            <w:right w:val="none" w:sz="0" w:space="0" w:color="auto"/>
          </w:divBdr>
        </w:div>
        <w:div w:id="1746024658">
          <w:marLeft w:val="1166"/>
          <w:marRight w:val="0"/>
          <w:marTop w:val="115"/>
          <w:marBottom w:val="0"/>
          <w:divBdr>
            <w:top w:val="none" w:sz="0" w:space="0" w:color="auto"/>
            <w:left w:val="none" w:sz="0" w:space="0" w:color="auto"/>
            <w:bottom w:val="none" w:sz="0" w:space="0" w:color="auto"/>
            <w:right w:val="none" w:sz="0" w:space="0" w:color="auto"/>
          </w:divBdr>
        </w:div>
        <w:div w:id="196596605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darlington.fsd.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t>
        <a:bodyPr/>
        <a:lstStyle/>
        <a:p>
          <a:endParaRPr lang="en-GB"/>
        </a:p>
      </dgm:t>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t>
        <a:bodyPr/>
        <a:lstStyle/>
        <a:p>
          <a:endParaRPr lang="en-GB"/>
        </a:p>
      </dgm:t>
    </dgm:pt>
    <dgm:pt modelId="{39DA2CD6-12BF-4768-99A5-268F088057C4}" type="pres">
      <dgm:prSet presAssocID="{68281954-932F-4FB6-88A4-47D1FA15CD84}" presName="sibTrans" presStyleLbl="node1" presStyleIdx="0" presStyleCnt="4"/>
      <dgm:spPr/>
      <dgm:t>
        <a:bodyPr/>
        <a:lstStyle/>
        <a:p>
          <a:endParaRPr lang="en-GB"/>
        </a:p>
      </dgm:t>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t>
        <a:bodyPr/>
        <a:lstStyle/>
        <a:p>
          <a:endParaRPr lang="en-GB"/>
        </a:p>
      </dgm:t>
    </dgm:pt>
    <dgm:pt modelId="{BFF8BDF7-6F51-4FD2-9AB5-AD9CD13B0420}" type="pres">
      <dgm:prSet presAssocID="{522E8076-E4CB-49D6-BE21-81151C335A05}" presName="sibTrans" presStyleLbl="node1" presStyleIdx="1" presStyleCnt="4"/>
      <dgm:spPr/>
      <dgm:t>
        <a:bodyPr/>
        <a:lstStyle/>
        <a:p>
          <a:endParaRPr lang="en-GB"/>
        </a:p>
      </dgm:t>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t>
        <a:bodyPr/>
        <a:lstStyle/>
        <a:p>
          <a:endParaRPr lang="en-GB"/>
        </a:p>
      </dgm:t>
    </dgm:pt>
    <dgm:pt modelId="{21C28455-A06C-4D2E-9C7D-5A1389191F12}" type="pres">
      <dgm:prSet presAssocID="{1F5632B6-16A8-4AE1-B058-CD625018AF64}" presName="sibTrans" presStyleLbl="node1" presStyleIdx="2" presStyleCnt="4"/>
      <dgm:spPr/>
      <dgm:t>
        <a:bodyPr/>
        <a:lstStyle/>
        <a:p>
          <a:endParaRPr lang="en-GB"/>
        </a:p>
      </dgm:t>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t>
        <a:bodyPr/>
        <a:lstStyle/>
        <a:p>
          <a:endParaRPr lang="en-GB"/>
        </a:p>
      </dgm:t>
    </dgm:pt>
    <dgm:pt modelId="{E7227198-0769-4F2E-BAA1-7E7C129DC92B}" type="pres">
      <dgm:prSet presAssocID="{1A7626EB-8C75-47EF-8920-32A25363BC7F}" presName="sibTrans" presStyleLbl="node1" presStyleIdx="3" presStyleCnt="4"/>
      <dgm:spPr/>
      <dgm:t>
        <a:bodyPr/>
        <a:lstStyle/>
        <a:p>
          <a:endParaRPr lang="en-GB"/>
        </a:p>
      </dgm:t>
    </dgm:pt>
  </dgm:ptLst>
  <dgm:cxnLst>
    <dgm:cxn modelId="{685E89AB-2381-4CE1-94D6-CB53DE32B41F}" type="presOf" srcId="{68281954-932F-4FB6-88A4-47D1FA15CD84}" destId="{39DA2CD6-12BF-4768-99A5-268F088057C4}" srcOrd="0" destOrd="0" presId="urn:microsoft.com/office/officeart/2005/8/layout/cycle1"/>
    <dgm:cxn modelId="{C026C7C2-11EC-414C-8D47-DBB4C09DEACE}" type="presOf" srcId="{2551B69F-4D2E-4489-95B5-F375E81DE330}" destId="{396846D4-38E5-4EC7-AA95-32A50DEEA93A}" srcOrd="0" destOrd="0" presId="urn:microsoft.com/office/officeart/2005/8/layout/cycle1"/>
    <dgm:cxn modelId="{BDFCCF6A-8F6E-42CE-9E16-35017B30F294}" type="presOf" srcId="{522E8076-E4CB-49D6-BE21-81151C335A05}" destId="{BFF8BDF7-6F51-4FD2-9AB5-AD9CD13B0420}" srcOrd="0" destOrd="0" presId="urn:microsoft.com/office/officeart/2005/8/layout/cycle1"/>
    <dgm:cxn modelId="{70457832-1589-4BBA-81E5-B2D81DC1BA37}" type="presOf" srcId="{BB06E421-F019-43BE-8DF1-BCDB3715AC8A}" destId="{98453A64-5E4B-46E1-B3E2-9DF1B66364DB}" srcOrd="0" destOrd="0" presId="urn:microsoft.com/office/officeart/2005/8/layout/cycle1"/>
    <dgm:cxn modelId="{42DEC98F-BF2B-485C-B985-4ABF35CCC4F7}" type="presOf" srcId="{1C351E72-3353-423E-8C97-9DCF2E8CDEF0}" destId="{07180D36-4BC4-4794-9541-FAD93F15848E}"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F2816E7A-9833-40DA-A938-3FBFD8BF28AA}" type="presOf" srcId="{1A7626EB-8C75-47EF-8920-32A25363BC7F}" destId="{E7227198-0769-4F2E-BAA1-7E7C129DC92B}" srcOrd="0" destOrd="0" presId="urn:microsoft.com/office/officeart/2005/8/layout/cycle1"/>
    <dgm:cxn modelId="{72AD9C04-6D95-45C4-A5C3-AF66742AD416}" srcId="{BA11A525-2F24-42A0-918E-FA8B8C380372}" destId="{4D13B9C1-FCA5-4FD2-9B70-79FE4163F71A}" srcOrd="2" destOrd="0" parTransId="{BB2F63CA-2CA6-44AC-8410-48AE81332DB7}" sibTransId="{1F5632B6-16A8-4AE1-B058-CD625018AF64}"/>
    <dgm:cxn modelId="{3C17E162-8407-41D6-99C9-6940E77F6D72}" type="presOf" srcId="{4D13B9C1-FCA5-4FD2-9B70-79FE4163F71A}" destId="{9EED7E84-95D2-410A-852E-E307807ADD3B}" srcOrd="0" destOrd="0" presId="urn:microsoft.com/office/officeart/2005/8/layout/cycle1"/>
    <dgm:cxn modelId="{ADEED9FF-1BF8-48B4-9AB4-07920A3CEE25}" type="presOf" srcId="{BA11A525-2F24-42A0-918E-FA8B8C380372}" destId="{DF137FA3-C389-42AC-9B22-10C9DFA54686}" srcOrd="0" destOrd="0" presId="urn:microsoft.com/office/officeart/2005/8/layout/cycle1"/>
    <dgm:cxn modelId="{477A6668-1F23-4885-8525-B4D95919C996}" type="presOf" srcId="{1F5632B6-16A8-4AE1-B058-CD625018AF64}" destId="{21C28455-A06C-4D2E-9C7D-5A1389191F12}"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5A3F18FF-DF7B-4FF2-9F5E-C6398AF6BD9C}" srcId="{BA11A525-2F24-42A0-918E-FA8B8C380372}" destId="{BB06E421-F019-43BE-8DF1-BCDB3715AC8A}" srcOrd="1" destOrd="0" parTransId="{BCAC5748-9504-4906-8C9E-7450410628FE}" sibTransId="{522E8076-E4CB-49D6-BE21-81151C335A05}"/>
    <dgm:cxn modelId="{6CD65888-04F0-4A2D-A780-7C8687020345}" type="presParOf" srcId="{DF137FA3-C389-42AC-9B22-10C9DFA54686}" destId="{2F5148F9-6AEF-4866-BB03-AC7D35DD4131}" srcOrd="0" destOrd="0" presId="urn:microsoft.com/office/officeart/2005/8/layout/cycle1"/>
    <dgm:cxn modelId="{822B20E9-7E44-4AC6-8706-C18962C2C444}" type="presParOf" srcId="{DF137FA3-C389-42AC-9B22-10C9DFA54686}" destId="{396846D4-38E5-4EC7-AA95-32A50DEEA93A}" srcOrd="1" destOrd="0" presId="urn:microsoft.com/office/officeart/2005/8/layout/cycle1"/>
    <dgm:cxn modelId="{E317AF44-3F21-4F7F-87E6-8CC769C2FF30}" type="presParOf" srcId="{DF137FA3-C389-42AC-9B22-10C9DFA54686}" destId="{39DA2CD6-12BF-4768-99A5-268F088057C4}" srcOrd="2" destOrd="0" presId="urn:microsoft.com/office/officeart/2005/8/layout/cycle1"/>
    <dgm:cxn modelId="{76F2B7D0-121D-4EA9-9981-1247834576A1}" type="presParOf" srcId="{DF137FA3-C389-42AC-9B22-10C9DFA54686}" destId="{A74CD60A-1BD8-42FF-88BC-87CC863C74BD}" srcOrd="3" destOrd="0" presId="urn:microsoft.com/office/officeart/2005/8/layout/cycle1"/>
    <dgm:cxn modelId="{7052B1FC-91B8-4A41-8AE8-0D52453852F5}" type="presParOf" srcId="{DF137FA3-C389-42AC-9B22-10C9DFA54686}" destId="{98453A64-5E4B-46E1-B3E2-9DF1B66364DB}" srcOrd="4" destOrd="0" presId="urn:microsoft.com/office/officeart/2005/8/layout/cycle1"/>
    <dgm:cxn modelId="{32B8E560-80EF-4F7F-B88A-96A297E90023}" type="presParOf" srcId="{DF137FA3-C389-42AC-9B22-10C9DFA54686}" destId="{BFF8BDF7-6F51-4FD2-9AB5-AD9CD13B0420}" srcOrd="5" destOrd="0" presId="urn:microsoft.com/office/officeart/2005/8/layout/cycle1"/>
    <dgm:cxn modelId="{F64BABC8-E846-4B51-AF31-3584D334F0A1}" type="presParOf" srcId="{DF137FA3-C389-42AC-9B22-10C9DFA54686}" destId="{2E048EA5-071A-40A0-86CF-301070F262CB}" srcOrd="6" destOrd="0" presId="urn:microsoft.com/office/officeart/2005/8/layout/cycle1"/>
    <dgm:cxn modelId="{76B81E84-034C-4957-AD54-95F045506E97}" type="presParOf" srcId="{DF137FA3-C389-42AC-9B22-10C9DFA54686}" destId="{9EED7E84-95D2-410A-852E-E307807ADD3B}" srcOrd="7" destOrd="0" presId="urn:microsoft.com/office/officeart/2005/8/layout/cycle1"/>
    <dgm:cxn modelId="{8D1AF4A7-3EF4-411B-9500-9839BD6A0B86}" type="presParOf" srcId="{DF137FA3-C389-42AC-9B22-10C9DFA54686}" destId="{21C28455-A06C-4D2E-9C7D-5A1389191F12}" srcOrd="8" destOrd="0" presId="urn:microsoft.com/office/officeart/2005/8/layout/cycle1"/>
    <dgm:cxn modelId="{9A141B6F-6F3C-4672-8B3E-98F2AC76B77A}" type="presParOf" srcId="{DF137FA3-C389-42AC-9B22-10C9DFA54686}" destId="{1311E5F8-DEBF-43DF-B43A-68515ACC1340}" srcOrd="9" destOrd="0" presId="urn:microsoft.com/office/officeart/2005/8/layout/cycle1"/>
    <dgm:cxn modelId="{024EF87A-3736-4241-AD9C-FF3A1BF88DD8}" type="presParOf" srcId="{DF137FA3-C389-42AC-9B22-10C9DFA54686}" destId="{07180D36-4BC4-4794-9541-FAD93F15848E}" srcOrd="10" destOrd="0" presId="urn:microsoft.com/office/officeart/2005/8/layout/cycle1"/>
    <dgm:cxn modelId="{42A6AB52-3798-49E3-81BB-97E827E8B5FE}"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ABrannan</dc:creator>
  <cp:lastModifiedBy>Lynnette Heseltine</cp:lastModifiedBy>
  <cp:revision>2</cp:revision>
  <dcterms:created xsi:type="dcterms:W3CDTF">2018-01-17T14:42:00Z</dcterms:created>
  <dcterms:modified xsi:type="dcterms:W3CDTF">2018-01-17T14:42:00Z</dcterms:modified>
</cp:coreProperties>
</file>